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none" w:color="FFFFFF" w:sz="0"/>
              <w:bottom w:val="none" w:color="FFFFFF" w:sz="0"/>
              <w:right w:val="none" w:color="FFFFFF" w:sz="0"/>
            </w:tcBorders>
            <w:shd w:fill="3730A3" w:color="auto" w:val="clear"/>
            <w:tcMar>
              <w:top w:type="dxa" w:w="300"/>
              <w:left w:type="dxa" w:w="300"/>
              <w:bottom w:type="dxa" w:w="300"/>
              <w:right w:type="dxa" w:w="300"/>
            </w:tcMar>
          </w:tcPr>
          <w:p>
            <w:pPr>
              <w:spacing w:after="80" w:before="0" w:line="300"/>
            </w:pPr>
            <w:r>
              <w:rPr>
                <w:rFonts w:ascii="Arial" w:cs="Arial" w:eastAsia="Arial" w:hAnsi="Arial"/>
                <w:b/>
                <w:bCs/>
                <w:color w:val="C7D2FE"/>
                <w:sz w:val="16"/>
                <w:szCs w:val="16"/>
              </w:rPr>
              <w:t xml:space="preserve">SALARY BENCHMARK</w:t>
            </w:r>
          </w:p>
          <w:p>
            <w:pPr>
              <w:spacing w:after="40" w:before="0" w:line="300"/>
            </w:pPr>
            <w:r>
              <w:rPr>
                <w:rFonts w:ascii="Arial" w:cs="Arial" w:eastAsia="Arial" w:hAnsi="Arial"/>
                <w:b/>
                <w:bCs/>
                <w:color w:val="FFFFFF"/>
                <w:sz w:val="40"/>
                <w:szCs w:val="40"/>
              </w:rPr>
              <w:t xml:space="preserve">HR Advisor</w:t>
            </w:r>
          </w:p>
          <w:p>
            <w:pPr>
              <w:spacing w:after="0" w:before="0" w:line="300"/>
            </w:pPr>
            <w:r>
              <w:rPr>
                <w:rFonts w:ascii="Arial" w:cs="Arial" w:eastAsia="Arial" w:hAnsi="Arial"/>
                <w:color w:val="E0E7FF"/>
                <w:sz w:val="22"/>
                <w:szCs w:val="22"/>
              </w:rPr>
              <w:t xml:space="preserve">Manchester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none" w:color="FFFFFF" w:sz="0"/>
              <w:left w:val="none" w:color="FFFFFF" w:sz="0"/>
              <w:bottom w:val="none" w:color="FFFFFF" w:sz="0"/>
              <w:right w:val="none" w:color="FFFFFF" w:sz="0"/>
            </w:tcBorders>
            <w:shd w:fill="F8FAFC" w:color="auto" w:val="clear"/>
            <w:tcMar>
              <w:top w:type="dxa" w:w="100"/>
              <w:left w:type="dxa" w:w="160"/>
              <w:bottom w:type="dxa" w:w="100"/>
              <w:right w:type="dxa" w:w="160"/>
            </w:tcMar>
          </w:tcPr>
          <w:p>
            <w:pPr>
              <w:spacing w:after="0" w:before="0" w:line="300"/>
            </w:pPr>
            <w:r>
              <w:rPr>
                <w:rFonts w:ascii="Arial" w:cs="Arial" w:eastAsia="Arial" w:hAnsi="Arial"/>
                <w:color w:val="64748B"/>
                <w:sz w:val="15"/>
                <w:szCs w:val="15"/>
              </w:rPr>
              <w:t xml:space="preserve">Date</w:t>
            </w:r>
          </w:p>
          <w:p>
            <w:pPr>
              <w:spacing w:after="0" w:before="0" w:line="300"/>
            </w:pPr>
            <w:r>
              <w:rPr>
                <w:rFonts w:ascii="Arial" w:cs="Arial" w:eastAsia="Arial" w:hAnsi="Arial"/>
                <w:b/>
                <w:bCs/>
                <w:color w:val="0F172A"/>
                <w:sz w:val="19"/>
                <w:szCs w:val="19"/>
              </w:rPr>
              <w:t xml:space="preserve">25 September 2026</w:t>
            </w:r>
          </w:p>
        </w:tc>
        <w:tc>
          <w:tcPr>
            <w:tcW w:type="dxa" w:w="3008"/>
            <w:tcBorders>
              <w:top w:val="none" w:color="FFFFFF" w:sz="0"/>
              <w:left w:val="none" w:color="FFFFFF" w:sz="0"/>
              <w:bottom w:val="none" w:color="FFFFFF" w:sz="0"/>
              <w:right w:val="none" w:color="FFFFFF" w:sz="0"/>
            </w:tcBorders>
            <w:shd w:fill="F8FAFC" w:color="auto" w:val="clear"/>
            <w:tcMar>
              <w:top w:type="dxa" w:w="100"/>
              <w:left w:type="dxa" w:w="160"/>
              <w:bottom w:type="dxa" w:w="100"/>
              <w:right w:type="dxa" w:w="160"/>
            </w:tcMar>
          </w:tcPr>
          <w:p>
            <w:pPr>
              <w:spacing w:after="0" w:before="0" w:line="300"/>
            </w:pPr>
            <w:r>
              <w:rPr>
                <w:rFonts w:ascii="Arial" w:cs="Arial" w:eastAsia="Arial" w:hAnsi="Arial"/>
                <w:color w:val="64748B"/>
                <w:sz w:val="15"/>
                <w:szCs w:val="15"/>
              </w:rPr>
              <w:t xml:space="preserve">Prepared by</w:t>
            </w:r>
          </w:p>
          <w:p>
            <w:pPr>
              <w:spacing w:after="0" w:before="0" w:line="300"/>
            </w:pPr>
            <w:r>
              <w:rPr>
                <w:rFonts w:ascii="Arial" w:cs="Arial" w:eastAsia="Arial" w:hAnsi="Arial"/>
                <w:b/>
                <w:bCs/>
                <w:color w:val="0F172A"/>
                <w:sz w:val="19"/>
                <w:szCs w:val="19"/>
              </w:rPr>
              <w:t xml:space="preserve">hireful</w:t>
            </w:r>
          </w:p>
        </w:tc>
        <w:tc>
          <w:tcPr>
            <w:tcW w:type="dxa" w:w="3010"/>
            <w:tcBorders>
              <w:top w:val="none" w:color="FFFFFF" w:sz="0"/>
              <w:left w:val="none" w:color="FFFFFF" w:sz="0"/>
              <w:bottom w:val="none" w:color="FFFFFF" w:sz="0"/>
              <w:right w:val="none" w:color="FFFFFF" w:sz="0"/>
            </w:tcBorders>
            <w:shd w:fill="F8FAFC" w:color="auto" w:val="clear"/>
            <w:tcMar>
              <w:top w:type="dxa" w:w="100"/>
              <w:left w:type="dxa" w:w="160"/>
              <w:bottom w:type="dxa" w:w="100"/>
              <w:right w:type="dxa" w:w="160"/>
            </w:tcMar>
          </w:tcPr>
          <w:p>
            <w:pPr>
              <w:spacing w:after="0" w:before="0" w:line="300"/>
            </w:pPr>
            <w:r>
              <w:rPr>
                <w:rFonts w:ascii="Arial" w:cs="Arial" w:eastAsia="Arial" w:hAnsi="Arial"/>
                <w:color w:val="64748B"/>
                <w:sz w:val="15"/>
                <w:szCs w:val="15"/>
              </w:rPr>
              <w:t xml:space="preserve">Comparable adverts</w:t>
            </w:r>
          </w:p>
          <w:p>
            <w:pPr>
              <w:spacing w:after="0" w:before="0" w:line="300"/>
            </w:pPr>
            <w:r>
              <w:rPr>
                <w:rFonts w:ascii="Arial" w:cs="Arial" w:eastAsia="Arial" w:hAnsi="Arial"/>
                <w:b/>
                <w:bCs/>
                <w:color w:val="0F172A"/>
                <w:sz w:val="19"/>
                <w:szCs w:val="19"/>
              </w:rPr>
              <w:t xml:space="preserve">24</w:t>
            </w:r>
          </w:p>
        </w:tc>
      </w:tr>
    </w:tbl>
    <w:p>
      <w:pPr>
        <w:spacing w:after="120" w:before="0"/>
      </w:pPr>
    </w:p>
    <w:p>
      <w:pPr>
        <w:keepNext/>
        <w:pBdr>
          <w:bottom w:val="single" w:color="6366F1" w:sz="12" w:space="4"/>
        </w:pBdr>
        <w:spacing w:after="120" w:before="320"/>
      </w:pPr>
      <w:r>
        <w:rPr>
          <w:rFonts w:ascii="Arial" w:cs="Arial" w:eastAsia="Arial" w:hAnsi="Arial"/>
          <w:b/>
          <w:bCs/>
          <w:color w:val="0F172A"/>
          <w:sz w:val="30"/>
          <w:szCs w:val="30"/>
        </w:rPr>
        <w:t xml:space="preserve">Salary decision summary</w:t>
      </w:r>
    </w:p>
    <w:p>
      <w:pPr>
        <w:spacing w:after="160" w:before="0" w:line="300"/>
      </w:pPr>
      <w:r>
        <w:rPr>
          <w:rFonts w:ascii="Arial" w:cs="Arial" w:eastAsia="Arial" w:hAnsi="Arial"/>
          <w:b/>
          <w:bCs/>
          <w:color w:val="0F172A"/>
          <w:sz w:val="22"/>
          <w:szCs w:val="22"/>
        </w:rPr>
        <w:t xml:space="preserve">Offer £35,000 to £40,000 for an HR Advisor in Manchester, with £36,000 as the target. The advertised £32,000 sits below the market floor of £33,500 and beats only 17% of comparable adverts.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5"/>
        <w:gridCol w:w="1805"/>
        <w:gridCol w:w="1805"/>
        <w:gridCol w:w="1805"/>
        <w:gridCol w:w="1806"/>
      </w:tblGrid>
      <w:tr>
        <w:trPr>
          <w:cantSplit/>
        </w:trPr>
        <w:tc>
          <w:tcPr>
            <w:tcW w:type="dxa" w:w="1805"/>
            <w:tcBorders>
              <w:top w:val="none" w:color="FFFFFF" w:sz="0"/>
              <w:left w:val="none" w:color="FFFFFF" w:sz="0"/>
              <w:bottom w:val="none" w:color="FFFFFF" w:sz="0"/>
              <w:right w:val="none" w:color="FFFFFF" w:sz="0"/>
            </w:tcBorders>
            <w:shd w:fill="F1F5F9" w:color="auto" w:val="clear"/>
            <w:tcMar>
              <w:top w:type="dxa" w:w="160"/>
              <w:left w:type="dxa" w:w="120"/>
              <w:bottom w:type="dxa" w:w="160"/>
              <w:right w:type="dxa" w:w="120"/>
            </w:tcMar>
            <w:vAlign w:val="center"/>
          </w:tcPr>
          <w:p>
            <w:pPr>
              <w:spacing w:after="40" w:before="0" w:line="300"/>
              <w:jc w:val="center"/>
            </w:pPr>
            <w:r>
              <w:rPr>
                <w:rFonts w:ascii="Arial" w:cs="Arial" w:eastAsia="Arial" w:hAnsi="Arial"/>
                <w:b/>
                <w:bCs/>
                <w:color w:val="334155"/>
                <w:sz w:val="18"/>
                <w:szCs w:val="18"/>
              </w:rPr>
              <w:t xml:space="preserve">Market floor</w:t>
            </w:r>
          </w:p>
          <w:p>
            <w:pPr>
              <w:spacing w:after="0" w:before="0" w:line="300"/>
              <w:jc w:val="center"/>
            </w:pPr>
            <w:r>
              <w:rPr>
                <w:rFonts w:ascii="Arial" w:cs="Arial" w:eastAsia="Arial" w:hAnsi="Arial"/>
                <w:b/>
                <w:bCs/>
                <w:color w:val="334155"/>
                <w:sz w:val="22"/>
                <w:szCs w:val="22"/>
              </w:rPr>
              <w:t xml:space="preserve">£33,500</w:t>
            </w:r>
          </w:p>
        </w:tc>
        <w:tc>
          <w:tcPr>
            <w:tcW w:type="dxa" w:w="1805"/>
            <w:tcBorders>
              <w:top w:val="none" w:color="FFFFFF" w:sz="0"/>
              <w:left w:val="none" w:color="FFFFFF" w:sz="0"/>
              <w:bottom w:val="none" w:color="FFFFFF" w:sz="0"/>
              <w:right w:val="none" w:color="FFFFFF" w:sz="0"/>
            </w:tcBorders>
            <w:shd w:fill="FEF3C7" w:color="auto" w:val="clear"/>
            <w:tcMar>
              <w:top w:type="dxa" w:w="160"/>
              <w:left w:type="dxa" w:w="120"/>
              <w:bottom w:type="dxa" w:w="160"/>
              <w:right w:type="dxa" w:w="120"/>
            </w:tcMar>
            <w:vAlign w:val="center"/>
          </w:tcPr>
          <w:p>
            <w:pPr>
              <w:spacing w:after="40" w:before="0" w:line="300"/>
              <w:jc w:val="center"/>
            </w:pPr>
            <w:r>
              <w:rPr>
                <w:rFonts w:ascii="Arial" w:cs="Arial" w:eastAsia="Arial" w:hAnsi="Arial"/>
                <w:b/>
                <w:bCs/>
                <w:color w:val="B45309"/>
                <w:sz w:val="18"/>
                <w:szCs w:val="18"/>
              </w:rPr>
              <w:t xml:space="preserve">Entry offer</w:t>
            </w:r>
          </w:p>
          <w:p>
            <w:pPr>
              <w:spacing w:after="0" w:before="0" w:line="300"/>
              <w:jc w:val="center"/>
            </w:pPr>
            <w:r>
              <w:rPr>
                <w:rFonts w:ascii="Arial" w:cs="Arial" w:eastAsia="Arial" w:hAnsi="Arial"/>
                <w:b/>
                <w:bCs/>
                <w:color w:val="B45309"/>
                <w:sz w:val="22"/>
                <w:szCs w:val="22"/>
              </w:rPr>
              <w:t xml:space="preserve">£35,000</w:t>
            </w:r>
          </w:p>
        </w:tc>
        <w:tc>
          <w:tcPr>
            <w:tcW w:type="dxa" w:w="1805"/>
            <w:tcBorders>
              <w:top w:val="none" w:color="FFFFFF" w:sz="0"/>
              <w:left w:val="none" w:color="FFFFFF" w:sz="0"/>
              <w:bottom w:val="none" w:color="FFFFFF" w:sz="0"/>
              <w:right w:val="none" w:color="FFFFFF" w:sz="0"/>
            </w:tcBorders>
            <w:shd w:fill="0D9488" w:color="auto" w:val="clear"/>
            <w:tcMar>
              <w:top w:type="dxa" w:w="160"/>
              <w:left w:type="dxa" w:w="120"/>
              <w:bottom w:type="dxa" w:w="160"/>
              <w:right w:type="dxa" w:w="120"/>
            </w:tcMar>
            <w:vAlign w:val="center"/>
          </w:tcPr>
          <w:p>
            <w:pPr>
              <w:spacing w:after="40" w:before="0" w:line="300"/>
              <w:jc w:val="center"/>
            </w:pPr>
            <w:r>
              <w:rPr>
                <w:rFonts w:ascii="Arial" w:cs="Arial" w:eastAsia="Arial" w:hAnsi="Arial"/>
                <w:b/>
                <w:bCs/>
                <w:color w:val="FFFFFF"/>
                <w:sz w:val="18"/>
                <w:szCs w:val="18"/>
              </w:rPr>
              <w:t xml:space="preserve">Target offer</w:t>
            </w:r>
          </w:p>
          <w:p>
            <w:pPr>
              <w:spacing w:after="0" w:before="0" w:line="300"/>
              <w:jc w:val="center"/>
            </w:pPr>
            <w:r>
              <w:rPr>
                <w:rFonts w:ascii="Arial" w:cs="Arial" w:eastAsia="Arial" w:hAnsi="Arial"/>
                <w:b/>
                <w:bCs/>
                <w:color w:val="FFFFFF"/>
                <w:sz w:val="22"/>
                <w:szCs w:val="22"/>
              </w:rPr>
              <w:t xml:space="preserve">£36,000</w:t>
            </w:r>
          </w:p>
        </w:tc>
        <w:tc>
          <w:tcPr>
            <w:tcW w:type="dxa" w:w="1805"/>
            <w:tcBorders>
              <w:top w:val="none" w:color="FFFFFF" w:sz="0"/>
              <w:left w:val="none" w:color="FFFFFF" w:sz="0"/>
              <w:bottom w:val="none" w:color="FFFFFF" w:sz="0"/>
              <w:right w:val="none" w:color="FFFFFF" w:sz="0"/>
            </w:tcBorders>
            <w:shd w:fill="D1FAE5" w:color="auto" w:val="clear"/>
            <w:tcMar>
              <w:top w:type="dxa" w:w="160"/>
              <w:left w:type="dxa" w:w="120"/>
              <w:bottom w:type="dxa" w:w="160"/>
              <w:right w:type="dxa" w:w="120"/>
            </w:tcMar>
            <w:vAlign w:val="center"/>
          </w:tcPr>
          <w:p>
            <w:pPr>
              <w:spacing w:after="40" w:before="0" w:line="300"/>
              <w:jc w:val="center"/>
            </w:pPr>
            <w:r>
              <w:rPr>
                <w:rFonts w:ascii="Arial" w:cs="Arial" w:eastAsia="Arial" w:hAnsi="Arial"/>
                <w:b/>
                <w:bCs/>
                <w:color w:val="047857"/>
                <w:sz w:val="18"/>
                <w:szCs w:val="18"/>
              </w:rPr>
              <w:t xml:space="preserve">Strong offer</w:t>
            </w:r>
          </w:p>
          <w:p>
            <w:pPr>
              <w:spacing w:after="0" w:before="0" w:line="300"/>
              <w:jc w:val="center"/>
            </w:pPr>
            <w:r>
              <w:rPr>
                <w:rFonts w:ascii="Arial" w:cs="Arial" w:eastAsia="Arial" w:hAnsi="Arial"/>
                <w:b/>
                <w:bCs/>
                <w:color w:val="047857"/>
                <w:sz w:val="22"/>
                <w:szCs w:val="22"/>
              </w:rPr>
              <w:t xml:space="preserve">£40,000</w:t>
            </w:r>
          </w:p>
        </w:tc>
        <w:tc>
          <w:tcPr>
            <w:tcW w:type="dxa" w:w="1806"/>
            <w:tcBorders>
              <w:top w:val="none" w:color="FFFFFF" w:sz="0"/>
              <w:left w:val="none" w:color="FFFFFF" w:sz="0"/>
              <w:bottom w:val="none" w:color="FFFFFF" w:sz="0"/>
              <w:right w:val="none" w:color="FFFFFF" w:sz="0"/>
            </w:tcBorders>
            <w:shd w:fill="EEF2FF" w:color="auto" w:val="clear"/>
            <w:tcMar>
              <w:top w:type="dxa" w:w="160"/>
              <w:left w:type="dxa" w:w="120"/>
              <w:bottom w:type="dxa" w:w="160"/>
              <w:right w:type="dxa" w:w="120"/>
            </w:tcMar>
            <w:vAlign w:val="center"/>
          </w:tcPr>
          <w:p>
            <w:pPr>
              <w:spacing w:after="40" w:before="0" w:line="300"/>
              <w:jc w:val="center"/>
            </w:pPr>
            <w:r>
              <w:rPr>
                <w:rFonts w:ascii="Arial" w:cs="Arial" w:eastAsia="Arial" w:hAnsi="Arial"/>
                <w:b/>
                <w:bCs/>
                <w:color w:val="4338CA"/>
                <w:sz w:val="18"/>
                <w:szCs w:val="18"/>
              </w:rPr>
              <w:t xml:space="preserve">Stretch</w:t>
            </w:r>
          </w:p>
          <w:p>
            <w:pPr>
              <w:spacing w:after="0" w:before="0" w:line="300"/>
              <w:jc w:val="center"/>
            </w:pPr>
            <w:r>
              <w:rPr>
                <w:rFonts w:ascii="Arial" w:cs="Arial" w:eastAsia="Arial" w:hAnsi="Arial"/>
                <w:b/>
                <w:bCs/>
                <w:color w:val="4338CA"/>
                <w:sz w:val="22"/>
                <w:szCs w:val="22"/>
              </w:rPr>
              <w:t xml:space="preserve">£45,500</w:t>
            </w:r>
          </w:p>
        </w:tc>
      </w:tr>
    </w:tbl>
    <w:p>
      <w:pPr>
        <w:spacing w:after="12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10B981" w:sz="18"/>
              <w:bottom w:val="none" w:color="FFFFFF" w:sz="0"/>
              <w:right w:val="none" w:color="FFFFFF" w:sz="0"/>
            </w:tcBorders>
            <w:shd w:fill="ECFDF5" w:color="auto" w:val="clear"/>
            <w:tcMar>
              <w:top w:type="dxa" w:w="120"/>
              <w:left w:type="dxa" w:w="180"/>
              <w:bottom w:type="dxa" w:w="120"/>
              <w:right w:type="dxa" w:w="120"/>
            </w:tcMar>
          </w:tcPr>
          <w:p>
            <w:pPr>
              <w:spacing w:after="0" w:line="288"/>
            </w:pPr>
            <w:r>
              <w:rPr>
                <w:rFonts w:ascii="Arial" w:cs="Arial" w:eastAsia="Arial" w:hAnsi="Arial"/>
                <w:b/>
                <w:bCs/>
                <w:color w:val="047857"/>
                <w:sz w:val="24"/>
                <w:szCs w:val="24"/>
              </w:rPr>
              <w:t xml:space="preserve">Recommended range</w:t>
            </w:r>
            <w:r>
              <w:rPr>
                <w:rFonts w:ascii="Arial" w:cs="Arial" w:eastAsia="Arial" w:hAnsi="Arial"/>
                <w:color w:val="047857"/>
                <w:sz w:val="22"/>
                <w:szCs w:val="22"/>
              </w:rPr>
              <w:t xml:space="preserve">   £35,000 to £40,000, aiming for £36,000.</w:t>
            </w:r>
          </w:p>
        </w:tc>
      </w:tr>
    </w:tbl>
    <w:p>
      <w:pPr>
        <w:spacing w:after="8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F59E0B" w:sz="18"/>
              <w:bottom w:val="none" w:color="FFFFFF" w:sz="0"/>
              <w:right w:val="none" w:color="FFFFFF" w:sz="0"/>
            </w:tcBorders>
            <w:shd w:fill="FFFBEB" w:color="auto" w:val="clear"/>
            <w:tcMar>
              <w:top w:type="dxa" w:w="120"/>
              <w:left w:type="dxa" w:w="180"/>
              <w:bottom w:type="dxa" w:w="120"/>
              <w:right w:type="dxa" w:w="120"/>
            </w:tcMar>
          </w:tcPr>
          <w:p>
            <w:pPr>
              <w:spacing w:after="0" w:line="288"/>
            </w:pPr>
            <w:r>
              <w:rPr>
                <w:rFonts w:ascii="Arial" w:cs="Arial" w:eastAsia="Arial" w:hAnsi="Arial"/>
                <w:b/>
                <w:bCs/>
                <w:color w:val="B45309"/>
                <w:sz w:val="24"/>
                <w:szCs w:val="24"/>
              </w:rPr>
              <w:t xml:space="preserve">Your advertised salary: £32,000</w:t>
            </w:r>
            <w:r>
              <w:rPr>
                <w:rFonts w:ascii="Arial" w:cs="Arial" w:eastAsia="Arial" w:hAnsi="Arial"/>
                <w:color w:val="B45309"/>
                <w:sz w:val="22"/>
                <w:szCs w:val="22"/>
              </w:rPr>
              <w:t xml:space="preserve">   At £32,000 the advertised salary sits below the market floor of £33,500 and 11.3% below our £36,000 target. Only four adverts pay a lower midpoint, all between £30,000 and £31,500, and ONS data puts a quarter of Manchester HR officers above £48,000. Expect applications mostly from people stepping up from HR Administrator or HR Assistant roles. Position: below the market floor.</w:t>
            </w:r>
          </w:p>
        </w:tc>
      </w:tr>
    </w:tbl>
    <w:p>
      <w:pPr>
        <w:spacing w:after="80" w:before="0"/>
      </w:pPr>
    </w:p>
    <w:p>
      <w:pPr>
        <w:keepNext/>
        <w:spacing w:after="80" w:before="240"/>
      </w:pPr>
      <w:r>
        <w:rPr>
          <w:rFonts w:ascii="Arial" w:cs="Arial" w:eastAsia="Arial" w:hAnsi="Arial"/>
          <w:b/>
          <w:bCs/>
          <w:color w:val="4338CA"/>
          <w:sz w:val="24"/>
          <w:szCs w:val="24"/>
        </w:rPr>
        <w:t xml:space="preserve">Key points</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Moving from £32,000 to £36,000 takes the role past 15 of the 24 current adverts, including the four at £35,000 from Robert Half, The Portfolio Group, Distinct Consultancy and Arborvitae Care Services.</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ONS payroll data shows the median human resources officer in Manchester earns about £38,700 today, above the advertised median of £35,000, so people already in post may expect more than the adverts offer.</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MCR Property Group is advertising at £33,000 to £38,000 in Manchester and is drawing 6.67 applications a day, the highest rate among the Reed adverts.</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The top three adverts, from National Nuclear Laboratory at £45,220 and two at £45,000, are larger or specialist roles. Treat them as a ceiling for a senior hire.</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The Portfolio Group has three HR Advisor adverts live in Manchester, from £31,500 to £35,000, so candidates will see a spread even from one agency.</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UK advertised pay for HR Advisors rose 9% in the 12 months to August 2026, from £38,293 to £41,738, so a salary set last year may now look low.</w:t>
      </w:r>
    </w:p>
    <w:p>
      <w:pPr>
        <w:keepNext/>
        <w:spacing w:after="80" w:before="240"/>
      </w:pPr>
      <w:r>
        <w:rPr>
          <w:rFonts w:ascii="Arial" w:cs="Arial" w:eastAsia="Arial" w:hAnsi="Arial"/>
          <w:b/>
          <w:bCs/>
          <w:color w:val="4338CA"/>
          <w:sz w:val="24"/>
          <w:szCs w:val="24"/>
        </w:rPr>
        <w:t xml:space="preserve">What moves the salary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rPr>
          <w:tblHeader/>
        </w:trPr>
        <w:tc>
          <w:tcPr>
            <w:tcW w:type="dxa" w:w="4513"/>
            <w:tcBorders>
              <w:top w:val="single" w:color="CBD5E1" w:sz="2"/>
              <w:left w:val="single" w:color="CBD5E1" w:sz="2"/>
              <w:bottom w:val="single" w:color="CBD5E1" w:sz="2"/>
              <w:right w:val="single" w:color="CBD5E1" w:sz="2"/>
            </w:tcBorders>
            <w:shd w:fill="334155" w:color="auto" w:val="clear"/>
            <w:tcMar>
              <w:top w:type="dxa" w:w="80"/>
              <w:left w:type="dxa" w:w="120"/>
              <w:bottom w:type="dxa" w:w="80"/>
              <w:right w:type="dxa" w:w="120"/>
            </w:tcMar>
          </w:tcPr>
          <w:p>
            <w:pPr>
              <w:spacing w:after="0" w:before="0" w:line="300"/>
              <w:jc w:val="center"/>
            </w:pPr>
            <w:r>
              <w:rPr>
                <w:rFonts w:ascii="Arial" w:cs="Arial" w:eastAsia="Arial" w:hAnsi="Arial"/>
                <w:b/>
                <w:bCs/>
                <w:color w:val="FFFFFF"/>
                <w:sz w:val="22"/>
                <w:szCs w:val="22"/>
              </w:rPr>
              <w:t xml:space="preserve">Worth paying more for</w:t>
            </w:r>
          </w:p>
        </w:tc>
        <w:tc>
          <w:tcPr>
            <w:tcW w:type="dxa" w:w="4513"/>
            <w:tcBorders>
              <w:top w:val="single" w:color="CBD5E1" w:sz="2"/>
              <w:left w:val="single" w:color="CBD5E1" w:sz="2"/>
              <w:bottom w:val="single" w:color="CBD5E1" w:sz="2"/>
              <w:right w:val="single" w:color="CBD5E1" w:sz="2"/>
            </w:tcBorders>
            <w:shd w:fill="334155" w:color="auto" w:val="clear"/>
            <w:tcMar>
              <w:top w:type="dxa" w:w="80"/>
              <w:left w:type="dxa" w:w="120"/>
              <w:bottom w:type="dxa" w:w="80"/>
              <w:right w:type="dxa" w:w="120"/>
            </w:tcMar>
          </w:tcPr>
          <w:p>
            <w:pPr>
              <w:spacing w:after="0" w:before="0" w:line="300"/>
              <w:jc w:val="center"/>
            </w:pPr>
            <w:r>
              <w:rPr>
                <w:rFonts w:ascii="Arial" w:cs="Arial" w:eastAsia="Arial" w:hAnsi="Arial"/>
                <w:b/>
                <w:bCs/>
                <w:color w:val="FFFFFF"/>
                <w:sz w:val="22"/>
                <w:szCs w:val="22"/>
              </w:rPr>
              <w:t xml:space="preserve">Worth less</w:t>
            </w:r>
          </w:p>
        </w:tc>
      </w:tr>
      <w:tr>
        <w:trPr>
          <w:cantSplit/>
        </w:trPr>
        <w:tc>
          <w:tcPr>
            <w:tcW w:type="dxa" w:w="4513"/>
            <w:tcBorders>
              <w:top w:val="single" w:color="CBD5E1" w:sz="2"/>
              <w:left w:val="single" w:color="CBD5E1" w:sz="2"/>
              <w:bottom w:val="single" w:color="CBD5E1" w:sz="2"/>
              <w:right w:val="single" w:color="CBD5E1" w:sz="2"/>
            </w:tcBorders>
            <w:shd w:fill="EEF2FF"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CIPD Level 5 completed, or well advanced</w:t>
            </w:r>
          </w:p>
        </w:tc>
        <w:tc>
          <w:tcPr>
            <w:tcW w:type="dxa" w:w="4513"/>
            <w:tcBorders>
              <w:top w:val="single" w:color="CBD5E1" w:sz="2"/>
              <w:left w:val="single" w:color="CBD5E1" w:sz="2"/>
              <w:bottom w:val="single" w:color="CBD5E1" w:sz="2"/>
              <w:right w:val="single" w:color="CBD5E1" w:sz="2"/>
            </w:tcBorders>
            <w:shd w:fill="F1F5F9"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CIPD Level 3 only, or not yet started Level 5</w:t>
            </w:r>
          </w:p>
        </w:tc>
      </w:tr>
      <w:tr>
        <w:trPr>
          <w:cantSplit/>
        </w:trPr>
        <w:tc>
          <w:tcPr>
            <w:tcW w:type="dxa" w:w="4513"/>
            <w:tcBorders>
              <w:top w:val="single" w:color="CBD5E1" w:sz="2"/>
              <w:left w:val="single" w:color="CBD5E1" w:sz="2"/>
              <w:bottom w:val="single" w:color="CBD5E1" w:sz="2"/>
              <w:right w:val="single" w:color="CBD5E1" w:sz="2"/>
            </w:tcBorders>
            <w:shd w:fill="EEF2FF"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Has handled employee relations cases end to end, from investigation to outcome</w:t>
            </w:r>
          </w:p>
        </w:tc>
        <w:tc>
          <w:tcPr>
            <w:tcW w:type="dxa" w:w="4513"/>
            <w:tcBorders>
              <w:top w:val="single" w:color="CBD5E1" w:sz="2"/>
              <w:left w:val="single" w:color="CBD5E1" w:sz="2"/>
              <w:bottom w:val="single" w:color="CBD5E1" w:sz="2"/>
              <w:right w:val="single" w:color="CBD5E1" w:sz="2"/>
            </w:tcBorders>
            <w:shd w:fill="F1F5F9"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Has sat in on employee relations cases but not led one</w:t>
            </w:r>
          </w:p>
        </w:tc>
      </w:tr>
      <w:tr>
        <w:trPr>
          <w:cantSplit/>
        </w:trPr>
        <w:tc>
          <w:tcPr>
            <w:tcW w:type="dxa" w:w="4513"/>
            <w:tcBorders>
              <w:top w:val="single" w:color="CBD5E1" w:sz="2"/>
              <w:left w:val="single" w:color="CBD5E1" w:sz="2"/>
              <w:bottom w:val="single" w:color="CBD5E1" w:sz="2"/>
              <w:right w:val="single" w:color="CBD5E1" w:sz="2"/>
            </w:tcBorders>
            <w:shd w:fill="EEF2FF"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Experience supporting a restructure, redundancy consultation or TUPE transfer</w:t>
            </w:r>
          </w:p>
        </w:tc>
        <w:tc>
          <w:tcPr>
            <w:tcW w:type="dxa" w:w="4513"/>
            <w:tcBorders>
              <w:top w:val="single" w:color="CBD5E1" w:sz="2"/>
              <w:left w:val="single" w:color="CBD5E1" w:sz="2"/>
              <w:bottom w:val="single" w:color="CBD5E1" w:sz="2"/>
              <w:right w:val="single" w:color="CBD5E1" w:sz="2"/>
            </w:tcBorders>
            <w:shd w:fill="F1F5F9"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No experience of consultation, redundancy or TUPE</w:t>
            </w:r>
          </w:p>
        </w:tc>
      </w:tr>
      <w:tr>
        <w:trPr>
          <w:cantSplit/>
        </w:trPr>
        <w:tc>
          <w:tcPr>
            <w:tcW w:type="dxa" w:w="4513"/>
            <w:tcBorders>
              <w:top w:val="single" w:color="CBD5E1" w:sz="2"/>
              <w:left w:val="single" w:color="CBD5E1" w:sz="2"/>
              <w:bottom w:val="single" w:color="CBD5E1" w:sz="2"/>
              <w:right w:val="single" w:color="CBD5E1" w:sz="2"/>
            </w:tcBorders>
            <w:shd w:fill="EEF2FF"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Has been the main HR contact for a site or business area, advising managers directly</w:t>
            </w:r>
          </w:p>
        </w:tc>
        <w:tc>
          <w:tcPr>
            <w:tcW w:type="dxa" w:w="4513"/>
            <w:tcBorders>
              <w:top w:val="single" w:color="CBD5E1" w:sz="2"/>
              <w:left w:val="single" w:color="CBD5E1" w:sz="2"/>
              <w:bottom w:val="single" w:color="CBD5E1" w:sz="2"/>
              <w:right w:val="single" w:color="CBD5E1" w:sz="2"/>
            </w:tcBorders>
            <w:shd w:fill="F1F5F9"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Has always worked under a senior advisor or manager who took the final call</w:t>
            </w:r>
          </w:p>
        </w:tc>
      </w:tr>
      <w:tr>
        <w:trPr>
          <w:cantSplit/>
        </w:trPr>
        <w:tc>
          <w:tcPr>
            <w:tcW w:type="dxa" w:w="4513"/>
            <w:tcBorders>
              <w:top w:val="single" w:color="CBD5E1" w:sz="2"/>
              <w:left w:val="single" w:color="CBD5E1" w:sz="2"/>
              <w:bottom w:val="single" w:color="CBD5E1" w:sz="2"/>
              <w:right w:val="single" w:color="CBD5E1" w:sz="2"/>
            </w:tcBorders>
            <w:shd w:fill="EEF2FF"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Sector experience that matches yours, such as care, manufacturing or regulated industries</w:t>
            </w:r>
          </w:p>
        </w:tc>
        <w:tc>
          <w:tcPr>
            <w:tcW w:type="dxa" w:w="4513"/>
            <w:tcBorders>
              <w:top w:val="single" w:color="CBD5E1" w:sz="2"/>
              <w:left w:val="single" w:color="CBD5E1" w:sz="2"/>
              <w:bottom w:val="single" w:color="CBD5E1" w:sz="2"/>
              <w:right w:val="single" w:color="CBD5E1" w:sz="2"/>
            </w:tcBorders>
            <w:shd w:fill="F1F5F9"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Comes from a different sector and would need time to learn your terms and rules</w:t>
            </w:r>
          </w:p>
        </w:tc>
      </w:tr>
      <w:tr>
        <w:trPr>
          <w:cantSplit/>
        </w:trPr>
        <w:tc>
          <w:tcPr>
            <w:tcW w:type="dxa" w:w="4513"/>
            <w:tcBorders>
              <w:top w:val="single" w:color="CBD5E1" w:sz="2"/>
              <w:left w:val="single" w:color="CBD5E1" w:sz="2"/>
              <w:bottom w:val="single" w:color="CBD5E1" w:sz="2"/>
              <w:right w:val="single" w:color="CBD5E1" w:sz="2"/>
            </w:tcBorders>
            <w:shd w:fill="EEF2FF"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Can show improvements they led, such as new policies or a smoother onboarding process</w:t>
            </w:r>
          </w:p>
        </w:tc>
        <w:tc>
          <w:tcPr>
            <w:tcW w:type="dxa" w:w="4513"/>
            <w:tcBorders>
              <w:top w:val="single" w:color="CBD5E1" w:sz="2"/>
              <w:left w:val="single" w:color="CBD5E1" w:sz="2"/>
              <w:bottom w:val="single" w:color="CBD5E1" w:sz="2"/>
              <w:right w:val="single" w:color="CBD5E1" w:sz="2"/>
            </w:tcBorders>
            <w:shd w:fill="F1F5F9" w:color="auto" w:val="clear"/>
            <w:tcMar>
              <w:top w:type="dxa" w:w="80"/>
              <w:left w:type="dxa" w:w="120"/>
              <w:bottom w:type="dxa" w:w="80"/>
              <w:right w:type="dxa" w:w="120"/>
            </w:tcMar>
          </w:tcPr>
          <w:p>
            <w:pPr>
              <w:spacing w:after="0" w:before="0" w:line="300"/>
            </w:pPr>
            <w:r>
              <w:rPr>
                <w:rFonts w:ascii="Arial" w:cs="Arial" w:eastAsia="Arial" w:hAnsi="Arial"/>
                <w:color w:val="0F172A"/>
                <w:sz w:val="20"/>
                <w:szCs w:val="20"/>
              </w:rPr>
              <w:t xml:space="preserve">Background mainly in HR administration, with little advisory work</w:t>
            </w:r>
          </w:p>
        </w:tc>
      </w:tr>
    </w:tbl>
    <w:p>
      <w:pPr>
        <w:keepNext/>
        <w:pBdr>
          <w:bottom w:val="single" w:color="6366F1" w:sz="12" w:space="4"/>
        </w:pBdr>
        <w:spacing w:after="120" w:before="320"/>
      </w:pPr>
      <w:r>
        <w:rPr>
          <w:rFonts w:ascii="Arial" w:cs="Arial" w:eastAsia="Arial" w:hAnsi="Arial"/>
          <w:b/>
          <w:bCs/>
          <w:color w:val="0F172A"/>
          <w:sz w:val="30"/>
          <w:szCs w:val="30"/>
        </w:rPr>
        <w:t xml:space="preserve">What the evidence says</w:t>
      </w:r>
    </w:p>
    <w:p>
      <w:pPr>
        <w:spacing w:after="160" w:before="0" w:line="300"/>
      </w:pPr>
      <w:r>
        <w:rPr>
          <w:rFonts w:ascii="Arial" w:cs="Arial" w:eastAsia="Arial" w:hAnsi="Arial"/>
          <w:color w:val="334155"/>
          <w:sz w:val="22"/>
          <w:szCs w:val="22"/>
        </w:rPr>
        <w:t xml:space="preserve">We found 24 comparable HR Advisor adverts within 15 miles of Manchester, with midpoints from £30,000 to £45,220 and a median of £35,000. ONS payroll data for human resources officers puts the typical Manchester salary today at about £38,700, so employers are paying a little more than the adverts suggest.</w:t>
      </w:r>
    </w:p>
    <w:p>
      <w:pPr>
        <w:spacing w:after="160" w:before="0" w:line="300"/>
      </w:pPr>
      <w:r>
        <w:rPr>
          <w:rFonts w:ascii="Arial" w:cs="Arial" w:eastAsia="Arial" w:hAnsi="Arial"/>
          <w:color w:val="334155"/>
          <w:sz w:val="22"/>
          <w:szCs w:val="22"/>
        </w:rPr>
        <w:t xml:space="preserve">Blending the two gives a target of £36,000. At £32,000 the role would compete with the cheapest agency listings and sit well below what HR officers in the area are actually paid, so expect a thin field.</w:t>
      </w:r>
    </w:p>
    <w:p>
      <w:pPr>
        <w:keepNext/>
        <w:spacing w:after="80" w:before="240"/>
      </w:pPr>
      <w:r>
        <w:rPr>
          <w:rFonts w:ascii="Arial" w:cs="Arial" w:eastAsia="Arial" w:hAnsi="Arial"/>
          <w:b/>
          <w:bCs/>
          <w:color w:val="4338CA"/>
          <w:sz w:val="24"/>
          <w:szCs w:val="24"/>
        </w:rPr>
        <w:t xml:space="preserve">Where each source puts the salary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026"/>
      </w:tblGrid>
      <w:tr>
        <w:trPr>
          <w:cantSplit/>
        </w:trPr>
        <w:tc>
          <w:tcPr>
            <w:tcW w:type="dxa" w:w="3000"/>
            <w:tcBorders>
              <w:top w:val="none" w:color="FFFFFF" w:sz="0"/>
              <w:left w:val="none" w:color="FFFFFF" w:sz="0"/>
              <w:bottom w:val="single" w:color="E2E8F0" w:sz="2"/>
              <w:right w:val="none" w:color="FFFFFF" w:sz="0"/>
            </w:tcBorders>
            <w:tcMar>
              <w:top w:type="dxa" w:w="60"/>
              <w:left w:type="dxa" w:w="0"/>
              <w:bottom w:type="dxa" w:w="60"/>
              <w:right w:type="dxa" w:w="120"/>
            </w:tcMar>
            <w:vAlign w:val="center"/>
          </w:tcPr>
          <w:p>
            <w:pPr>
              <w:spacing w:after="0" w:before="0" w:line="300"/>
            </w:pPr>
            <w:r>
              <w:rPr>
                <w:rFonts w:ascii="Arial" w:cs="Arial" w:eastAsia="Arial" w:hAnsi="Arial"/>
                <w:b/>
                <w:bCs/>
                <w:color w:val="0F172A"/>
                <w:sz w:val="19"/>
                <w:szCs w:val="19"/>
              </w:rPr>
              <w:t xml:space="preserve">Live comparable adverts</w:t>
            </w:r>
          </w:p>
          <w:p>
            <w:pPr>
              <w:spacing w:after="0" w:before="0" w:line="300"/>
            </w:pPr>
            <w:r>
              <w:rPr>
                <w:rFonts w:ascii="Arial" w:cs="Arial" w:eastAsia="Arial" w:hAnsi="Arial"/>
                <w:color w:val="64748B"/>
                <w:sz w:val="15"/>
                <w:szCs w:val="15"/>
              </w:rPr>
              <w:t xml:space="preserve">24 adverts, middle 50% and median</w:t>
            </w:r>
          </w:p>
        </w:tc>
        <w:tc>
          <w:tcPr>
            <w:tcW w:type="dxa" w:w="6026"/>
            <w:tcBorders>
              <w:top w:val="none" w:color="FFFFFF" w:sz="0"/>
              <w:left w:val="none" w:color="FFFFFF" w:sz="0"/>
              <w:bottom w:val="single" w:color="E2E8F0" w:sz="2"/>
              <w:right w:val="none" w:color="FFFFFF" w:sz="0"/>
            </w:tcBorders>
            <w:tcMar>
              <w:top w:type="dxa" w:w="60"/>
              <w:left w:type="dxa" w:w="0"/>
              <w:bottom w:type="dxa" w:w="60"/>
              <w:right w:type="dxa" w:w="0"/>
            </w:tcMar>
            <w:vAlign w:val="center"/>
          </w:tcPr>
          <w:tbl>
            <w:tblPr>
              <w:tblW w:type="dxa" w:w="6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3"/>
              <w:gridCol w:w="719"/>
              <w:gridCol w:w="70"/>
              <w:gridCol w:w="1057"/>
              <w:gridCol w:w="3427"/>
            </w:tblGrid>
            <w:tr>
              <w:trPr>
                <w:trHeight w:val="200" w:hRule="exact"/>
              </w:trPr>
              <w:tc>
                <w:tcPr>
                  <w:tcW w:type="dxa" w:w="7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c>
                <w:tcPr>
                  <w:tcW w:type="dxa" w:w="719"/>
                  <w:tcBorders>
                    <w:top w:val="none" w:color="FFFFFF" w:sz="0"/>
                    <w:left w:val="none" w:color="FFFFFF" w:sz="0"/>
                    <w:bottom w:val="none" w:color="FFFFFF" w:sz="0"/>
                    <w:right w:val="none" w:color="FFFFFF" w:sz="0"/>
                  </w:tcBorders>
                  <w:shd w:fill="C7D2FE" w:color="auto" w:val="clear"/>
                  <w:tcMar>
                    <w:top w:type="dxa" w:w="0"/>
                    <w:left w:type="dxa" w:w="0"/>
                    <w:bottom w:type="dxa" w:w="0"/>
                    <w:right w:type="dxa" w:w="0"/>
                  </w:tcMar>
                </w:tcPr>
                <w:p>
                  <w:pPr>
                    <w:spacing w:after="0" w:line="20"/>
                  </w:pPr>
                </w:p>
              </w:tc>
              <w:tc>
                <w:tcPr>
                  <w:tcW w:type="dxa" w:w="70"/>
                  <w:tcBorders>
                    <w:top w:val="none" w:color="FFFFFF" w:sz="0"/>
                    <w:left w:val="none" w:color="FFFFFF" w:sz="0"/>
                    <w:bottom w:val="none" w:color="FFFFFF" w:sz="0"/>
                    <w:right w:val="none" w:color="FFFFFF" w:sz="0"/>
                  </w:tcBorders>
                  <w:shd w:fill="4F46E5" w:color="auto" w:val="clear"/>
                  <w:tcMar>
                    <w:top w:type="dxa" w:w="0"/>
                    <w:left w:type="dxa" w:w="0"/>
                    <w:bottom w:type="dxa" w:w="0"/>
                    <w:right w:type="dxa" w:w="0"/>
                  </w:tcMar>
                </w:tcPr>
                <w:p>
                  <w:pPr>
                    <w:spacing w:after="0" w:line="20"/>
                  </w:pPr>
                </w:p>
              </w:tc>
              <w:tc>
                <w:tcPr>
                  <w:tcW w:type="dxa" w:w="1057"/>
                  <w:tcBorders>
                    <w:top w:val="none" w:color="FFFFFF" w:sz="0"/>
                    <w:left w:val="none" w:color="FFFFFF" w:sz="0"/>
                    <w:bottom w:val="none" w:color="FFFFFF" w:sz="0"/>
                    <w:right w:val="none" w:color="FFFFFF" w:sz="0"/>
                  </w:tcBorders>
                  <w:shd w:fill="C7D2FE" w:color="auto" w:val="clear"/>
                  <w:tcMar>
                    <w:top w:type="dxa" w:w="0"/>
                    <w:left w:type="dxa" w:w="0"/>
                    <w:bottom w:type="dxa" w:w="0"/>
                    <w:right w:type="dxa" w:w="0"/>
                  </w:tcMar>
                </w:tcPr>
                <w:p>
                  <w:pPr>
                    <w:spacing w:after="0" w:line="20"/>
                  </w:pPr>
                </w:p>
              </w:tc>
              <w:tc>
                <w:tcPr>
                  <w:tcW w:type="dxa" w:w="34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r>
      <w:tr>
        <w:trPr>
          <w:cantSplit/>
        </w:trPr>
        <w:tc>
          <w:tcPr>
            <w:tcW w:type="dxa" w:w="3000"/>
            <w:tcBorders>
              <w:top w:val="none" w:color="FFFFFF" w:sz="0"/>
              <w:left w:val="none" w:color="FFFFFF" w:sz="0"/>
              <w:bottom w:val="single" w:color="E2E8F0" w:sz="2"/>
              <w:right w:val="none" w:color="FFFFFF" w:sz="0"/>
            </w:tcBorders>
            <w:tcMar>
              <w:top w:type="dxa" w:w="60"/>
              <w:left w:type="dxa" w:w="0"/>
              <w:bottom w:type="dxa" w:w="60"/>
              <w:right w:type="dxa" w:w="120"/>
            </w:tcMar>
            <w:vAlign w:val="center"/>
          </w:tcPr>
          <w:p>
            <w:pPr>
              <w:spacing w:after="0" w:before="0" w:line="300"/>
            </w:pPr>
            <w:r>
              <w:rPr>
                <w:rFonts w:ascii="Arial" w:cs="Arial" w:eastAsia="Arial" w:hAnsi="Arial"/>
                <w:b/>
                <w:bCs/>
                <w:color w:val="0F172A"/>
                <w:sz w:val="19"/>
                <w:szCs w:val="19"/>
              </w:rPr>
              <w:t xml:space="preserve">ONS ASHE 3571</w:t>
            </w:r>
          </w:p>
          <w:p>
            <w:pPr>
              <w:spacing w:after="0" w:before="0" w:line="300"/>
            </w:pPr>
            <w:r>
              <w:rPr>
                <w:rFonts w:ascii="Arial" w:cs="Arial" w:eastAsia="Arial" w:hAnsi="Arial"/>
                <w:color w:val="64748B"/>
                <w:sz w:val="15"/>
                <w:szCs w:val="15"/>
              </w:rPr>
              <w:t xml:space="preserve">Human resources and industrial relations officers, local and aged to today</w:t>
            </w:r>
          </w:p>
        </w:tc>
        <w:tc>
          <w:tcPr>
            <w:tcW w:type="dxa" w:w="6026"/>
            <w:tcBorders>
              <w:top w:val="none" w:color="FFFFFF" w:sz="0"/>
              <w:left w:val="none" w:color="FFFFFF" w:sz="0"/>
              <w:bottom w:val="single" w:color="E2E8F0" w:sz="2"/>
              <w:right w:val="none" w:color="FFFFFF" w:sz="0"/>
            </w:tcBorders>
            <w:tcMar>
              <w:top w:type="dxa" w:w="60"/>
              <w:left w:type="dxa" w:w="0"/>
              <w:bottom w:type="dxa" w:w="60"/>
              <w:right w:type="dxa" w:w="0"/>
            </w:tcMar>
            <w:vAlign w:val="center"/>
          </w:tcPr>
          <w:tbl>
            <w:tblPr>
              <w:tblW w:type="dxa" w:w="6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6"/>
              <w:gridCol w:w="1981"/>
              <w:gridCol w:w="70"/>
              <w:gridCol w:w="2797"/>
              <w:gridCol w:w="562"/>
            </w:tblGrid>
            <w:tr>
              <w:trPr>
                <w:trHeight w:val="200" w:hRule="exact"/>
              </w:trPr>
              <w:tc>
                <w:tcPr>
                  <w:tcW w:type="dxa" w:w="6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c>
                <w:tcPr>
                  <w:tcW w:type="dxa" w:w="1981"/>
                  <w:tcBorders>
                    <w:top w:val="none" w:color="FFFFFF" w:sz="0"/>
                    <w:left w:val="none" w:color="FFFFFF" w:sz="0"/>
                    <w:bottom w:val="none" w:color="FFFFFF" w:sz="0"/>
                    <w:right w:val="none" w:color="FFFFFF" w:sz="0"/>
                  </w:tcBorders>
                  <w:shd w:fill="C7D2FE" w:color="auto" w:val="clear"/>
                  <w:tcMar>
                    <w:top w:type="dxa" w:w="0"/>
                    <w:left w:type="dxa" w:w="0"/>
                    <w:bottom w:type="dxa" w:w="0"/>
                    <w:right w:type="dxa" w:w="0"/>
                  </w:tcMar>
                </w:tcPr>
                <w:p>
                  <w:pPr>
                    <w:spacing w:after="0" w:line="20"/>
                  </w:pPr>
                </w:p>
              </w:tc>
              <w:tc>
                <w:tcPr>
                  <w:tcW w:type="dxa" w:w="70"/>
                  <w:tcBorders>
                    <w:top w:val="none" w:color="FFFFFF" w:sz="0"/>
                    <w:left w:val="none" w:color="FFFFFF" w:sz="0"/>
                    <w:bottom w:val="none" w:color="FFFFFF" w:sz="0"/>
                    <w:right w:val="none" w:color="FFFFFF" w:sz="0"/>
                  </w:tcBorders>
                  <w:shd w:fill="4F46E5" w:color="auto" w:val="clear"/>
                  <w:tcMar>
                    <w:top w:type="dxa" w:w="0"/>
                    <w:left w:type="dxa" w:w="0"/>
                    <w:bottom w:type="dxa" w:w="0"/>
                    <w:right w:type="dxa" w:w="0"/>
                  </w:tcMar>
                </w:tcPr>
                <w:p>
                  <w:pPr>
                    <w:spacing w:after="0" w:line="20"/>
                  </w:pPr>
                </w:p>
              </w:tc>
              <w:tc>
                <w:tcPr>
                  <w:tcW w:type="dxa" w:w="2797"/>
                  <w:tcBorders>
                    <w:top w:val="none" w:color="FFFFFF" w:sz="0"/>
                    <w:left w:val="none" w:color="FFFFFF" w:sz="0"/>
                    <w:bottom w:val="none" w:color="FFFFFF" w:sz="0"/>
                    <w:right w:val="none" w:color="FFFFFF" w:sz="0"/>
                  </w:tcBorders>
                  <w:shd w:fill="C7D2FE" w:color="auto" w:val="clear"/>
                  <w:tcMar>
                    <w:top w:type="dxa" w:w="0"/>
                    <w:left w:type="dxa" w:w="0"/>
                    <w:bottom w:type="dxa" w:w="0"/>
                    <w:right w:type="dxa" w:w="0"/>
                  </w:tcMar>
                </w:tcPr>
                <w:p>
                  <w:pPr>
                    <w:spacing w:after="0" w:line="20"/>
                  </w:pPr>
                </w:p>
              </w:tc>
              <w:tc>
                <w:tcPr>
                  <w:tcW w:type="dxa" w:w="5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r>
      <w:tr>
        <w:trPr>
          <w:cantSplit/>
        </w:trPr>
        <w:tc>
          <w:tcPr>
            <w:tcW w:type="dxa" w:w="3000"/>
            <w:tcBorders>
              <w:top w:val="none" w:color="FFFFFF" w:sz="0"/>
              <w:left w:val="none" w:color="FFFFFF" w:sz="0"/>
              <w:bottom w:val="single" w:color="E2E8F0" w:sz="2"/>
              <w:right w:val="none" w:color="FFFFFF" w:sz="0"/>
            </w:tcBorders>
            <w:tcMar>
              <w:top w:type="dxa" w:w="60"/>
              <w:left w:type="dxa" w:w="0"/>
              <w:bottom w:type="dxa" w:w="60"/>
              <w:right w:type="dxa" w:w="120"/>
            </w:tcMar>
            <w:vAlign w:val="center"/>
          </w:tcPr>
          <w:p>
            <w:pPr>
              <w:spacing w:after="0" w:before="0" w:line="300"/>
            </w:pPr>
            <w:r>
              <w:rPr>
                <w:rFonts w:ascii="Arial" w:cs="Arial" w:eastAsia="Arial" w:hAnsi="Arial"/>
                <w:b/>
                <w:bCs/>
                <w:color w:val="0F172A"/>
                <w:sz w:val="19"/>
                <w:szCs w:val="19"/>
              </w:rPr>
              <w:t xml:space="preserve">Recommended range</w:t>
            </w:r>
          </w:p>
          <w:p>
            <w:pPr>
              <w:spacing w:after="0" w:before="0" w:line="300"/>
            </w:pPr>
            <w:r>
              <w:rPr>
                <w:rFonts w:ascii="Arial" w:cs="Arial" w:eastAsia="Arial" w:hAnsi="Arial"/>
                <w:color w:val="64748B"/>
                <w:sz w:val="15"/>
                <w:szCs w:val="15"/>
              </w:rPr>
              <w:t xml:space="preserve">£35,000 to £40,000</w:t>
            </w:r>
          </w:p>
        </w:tc>
        <w:tc>
          <w:tcPr>
            <w:tcW w:type="dxa" w:w="6026"/>
            <w:tcBorders>
              <w:top w:val="none" w:color="FFFFFF" w:sz="0"/>
              <w:left w:val="none" w:color="FFFFFF" w:sz="0"/>
              <w:bottom w:val="single" w:color="E2E8F0" w:sz="2"/>
              <w:right w:val="none" w:color="FFFFFF" w:sz="0"/>
            </w:tcBorders>
            <w:tcMar>
              <w:top w:type="dxa" w:w="60"/>
              <w:left w:type="dxa" w:w="0"/>
              <w:bottom w:type="dxa" w:w="60"/>
              <w:right w:type="dxa" w:w="0"/>
            </w:tcMar>
            <w:vAlign w:val="center"/>
          </w:tcPr>
          <w:tbl>
            <w:tblPr>
              <w:tblW w:type="dxa" w:w="6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7"/>
              <w:gridCol w:w="1506"/>
              <w:gridCol w:w="3013"/>
            </w:tblGrid>
            <w:tr>
              <w:trPr>
                <w:trHeight w:val="200" w:hRule="exact"/>
              </w:trPr>
              <w:tc>
                <w:tcPr>
                  <w:tcW w:type="dxa" w:w="150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c>
                <w:tcPr>
                  <w:tcW w:type="dxa" w:w="1506"/>
                  <w:tcBorders>
                    <w:top w:val="none" w:color="FFFFFF" w:sz="0"/>
                    <w:left w:val="none" w:color="FFFFFF" w:sz="0"/>
                    <w:bottom w:val="none" w:color="FFFFFF" w:sz="0"/>
                    <w:right w:val="none" w:color="FFFFFF" w:sz="0"/>
                  </w:tcBorders>
                  <w:shd w:fill="0D9488" w:color="auto" w:val="clear"/>
                  <w:tcMar>
                    <w:top w:type="dxa" w:w="0"/>
                    <w:left w:type="dxa" w:w="0"/>
                    <w:bottom w:type="dxa" w:w="0"/>
                    <w:right w:type="dxa" w:w="0"/>
                  </w:tcMar>
                </w:tcPr>
                <w:p>
                  <w:pPr>
                    <w:spacing w:after="0" w:line="20"/>
                  </w:pPr>
                </w:p>
              </w:tc>
              <w:tc>
                <w:tcPr>
                  <w:tcW w:type="dxa" w:w="30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r>
      <w:tr>
        <w:trPr>
          <w:cantSplit/>
        </w:trPr>
        <w:tc>
          <w:tcPr>
            <w:tcW w:type="dxa" w:w="3000"/>
            <w:tcBorders>
              <w:top w:val="none" w:color="FFFFFF" w:sz="0"/>
              <w:left w:val="none" w:color="FFFFFF" w:sz="0"/>
              <w:bottom w:val="single" w:color="E2E8F0" w:sz="2"/>
              <w:right w:val="none" w:color="FFFFFF" w:sz="0"/>
            </w:tcBorders>
            <w:tcMar>
              <w:top w:type="dxa" w:w="60"/>
              <w:left w:type="dxa" w:w="0"/>
              <w:bottom w:type="dxa" w:w="60"/>
              <w:right w:type="dxa" w:w="120"/>
            </w:tcMar>
            <w:vAlign w:val="center"/>
          </w:tcPr>
          <w:p>
            <w:pPr>
              <w:spacing w:after="0" w:before="0" w:line="300"/>
            </w:pPr>
            <w:r>
              <w:rPr>
                <w:rFonts w:ascii="Arial" w:cs="Arial" w:eastAsia="Arial" w:hAnsi="Arial"/>
                <w:b/>
                <w:bCs/>
                <w:color w:val="0F172A"/>
                <w:sz w:val="19"/>
                <w:szCs w:val="19"/>
              </w:rPr>
              <w:t xml:space="preserve">Your advert</w:t>
            </w:r>
          </w:p>
          <w:p>
            <w:pPr>
              <w:spacing w:after="0" w:before="0" w:line="300"/>
            </w:pPr>
            <w:r>
              <w:rPr>
                <w:rFonts w:ascii="Arial" w:cs="Arial" w:eastAsia="Arial" w:hAnsi="Arial"/>
                <w:color w:val="64748B"/>
                <w:sz w:val="15"/>
                <w:szCs w:val="15"/>
              </w:rPr>
              <w:t xml:space="preserve">£32,000</w:t>
            </w:r>
          </w:p>
        </w:tc>
        <w:tc>
          <w:tcPr>
            <w:tcW w:type="dxa" w:w="6026"/>
            <w:tcBorders>
              <w:top w:val="none" w:color="FFFFFF" w:sz="0"/>
              <w:left w:val="none" w:color="FFFFFF" w:sz="0"/>
              <w:bottom w:val="single" w:color="E2E8F0" w:sz="2"/>
              <w:right w:val="none" w:color="FFFFFF" w:sz="0"/>
            </w:tcBorders>
            <w:tcMar>
              <w:top w:type="dxa" w:w="60"/>
              <w:left w:type="dxa" w:w="0"/>
              <w:bottom w:type="dxa" w:w="60"/>
              <w:right w:type="dxa" w:w="0"/>
            </w:tcMar>
            <w:vAlign w:val="center"/>
          </w:tcPr>
          <w:tbl>
            <w:tblPr>
              <w:tblW w:type="dxa" w:w="6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3"/>
              <w:gridCol w:w="140"/>
              <w:gridCol w:w="5353"/>
            </w:tblGrid>
            <w:tr>
              <w:trPr>
                <w:trHeight w:val="200" w:hRule="exact"/>
              </w:trPr>
              <w:tc>
                <w:tcPr>
                  <w:tcW w:type="dxa" w:w="53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c>
                <w:tcPr>
                  <w:tcW w:type="dxa" w:w="140"/>
                  <w:tcBorders>
                    <w:top w:val="none" w:color="FFFFFF" w:sz="0"/>
                    <w:left w:val="none" w:color="FFFFFF" w:sz="0"/>
                    <w:bottom w:val="none" w:color="FFFFFF" w:sz="0"/>
                    <w:right w:val="none" w:color="FFFFFF" w:sz="0"/>
                  </w:tcBorders>
                  <w:shd w:fill="0F172A" w:color="auto" w:val="clear"/>
                  <w:tcMar>
                    <w:top w:type="dxa" w:w="0"/>
                    <w:left w:type="dxa" w:w="0"/>
                    <w:bottom w:type="dxa" w:w="0"/>
                    <w:right w:type="dxa" w:w="0"/>
                  </w:tcMar>
                </w:tcPr>
                <w:p>
                  <w:pPr>
                    <w:spacing w:after="0" w:line="20"/>
                  </w:pPr>
                </w:p>
              </w:tc>
              <w:tc>
                <w:tcPr>
                  <w:tcW w:type="dxa" w:w="53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r>
      <w:tr>
        <w:tc>
          <w:tcPr>
            <w:tcW w:type="dxa" w:w="30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pPr>
          </w:p>
        </w:tc>
        <w:tc>
          <w:tcPr>
            <w:tcW w:type="dxa" w:w="6026"/>
            <w:tcBorders>
              <w:top w:val="none" w:color="FFFFFF" w:sz="0"/>
              <w:left w:val="none" w:color="FFFFFF" w:sz="0"/>
              <w:bottom w:val="none" w:color="FFFFFF" w:sz="0"/>
              <w:right w:val="none" w:color="FFFFFF" w:sz="0"/>
            </w:tcBorders>
            <w:tcMar>
              <w:top w:type="dxa" w:w="40"/>
              <w:left w:type="dxa" w:w="0"/>
              <w:bottom w:type="dxa" w:w="0"/>
              <w:right w:type="dxa" w:w="0"/>
            </w:tcMar>
          </w:tcPr>
          <w:p>
            <w:pPr>
              <w:tabs>
                <w:tab w:val="center" w:pos="1507"/>
                <w:tab w:val="center" w:pos="3013"/>
                <w:tab w:val="center" w:pos="4520"/>
                <w:tab w:val="right" w:pos="6026"/>
              </w:tabs>
              <w:spacing w:after="0"/>
            </w:pPr>
            <w:r>
              <w:rPr>
                <w:rFonts w:ascii="Arial" w:cs="Arial" w:eastAsia="Arial" w:hAnsi="Arial"/>
                <w:color w:val="64748B"/>
                <w:sz w:val="15"/>
                <w:szCs w:val="15"/>
              </w:rPr>
              <w:t xml:space="preserve">£30k</w:t>
            </w:r>
            <w:r>
              <w:rPr>
                <w:rFonts w:ascii="Arial" w:cs="Arial" w:eastAsia="Arial" w:hAnsi="Arial"/>
                <w:color w:val="64748B"/>
                <w:sz w:val="15"/>
                <w:szCs w:val="15"/>
              </w:rPr>
              <w:t xml:space="preserve">	£35k</w:t>
            </w:r>
            <w:r>
              <w:rPr>
                <w:rFonts w:ascii="Arial" w:cs="Arial" w:eastAsia="Arial" w:hAnsi="Arial"/>
                <w:color w:val="64748B"/>
                <w:sz w:val="15"/>
                <w:szCs w:val="15"/>
              </w:rPr>
              <w:t xml:space="preserve">	£40k</w:t>
            </w:r>
            <w:r>
              <w:rPr>
                <w:rFonts w:ascii="Arial" w:cs="Arial" w:eastAsia="Arial" w:hAnsi="Arial"/>
                <w:color w:val="64748B"/>
                <w:sz w:val="15"/>
                <w:szCs w:val="15"/>
              </w:rPr>
              <w:t xml:space="preserve">	£45k</w:t>
            </w:r>
            <w:r>
              <w:rPr>
                <w:rFonts w:ascii="Arial" w:cs="Arial" w:eastAsia="Arial" w:hAnsi="Arial"/>
                <w:color w:val="64748B"/>
                <w:sz w:val="15"/>
                <w:szCs w:val="15"/>
              </w:rPr>
              <w:t xml:space="preserve">	£50k</w:t>
            </w:r>
          </w:p>
        </w:tc>
      </w:tr>
    </w:tbl>
    <w:p>
      <w:pPr>
        <w:spacing w:after="160" w:before="80" w:line="300"/>
      </w:pPr>
      <w:r>
        <w:rPr>
          <w:rFonts w:ascii="Arial" w:cs="Arial" w:eastAsia="Arial" w:hAnsi="Arial"/>
          <w:color w:val="64748B"/>
          <w:sz w:val="16"/>
          <w:szCs w:val="16"/>
        </w:rPr>
        <w:t xml:space="preserve">Pale bars show the middle 50% of each source where known, the dark mark is the median or average. The scale starts near the lowest figure, not at zero, so gaps of a few thousand pounds stay visible.</w:t>
      </w:r>
    </w:p>
    <w:p>
      <w:pPr>
        <w:keepNext/>
        <w:pBdr>
          <w:bottom w:val="single" w:color="6366F1" w:sz="12" w:space="4"/>
        </w:pBdr>
        <w:spacing w:after="120" w:before="320"/>
      </w:pPr>
      <w:r>
        <w:rPr>
          <w:rFonts w:ascii="Arial" w:cs="Arial" w:eastAsia="Arial" w:hAnsi="Arial"/>
          <w:b/>
          <w:bCs/>
          <w:color w:val="0F172A"/>
          <w:sz w:val="30"/>
          <w:szCs w:val="30"/>
        </w:rPr>
        <w:t xml:space="preserve">24 comparable adverts</w:t>
      </w:r>
    </w:p>
    <w:p>
      <w:pPr>
        <w:spacing w:after="160" w:before="0" w:line="300"/>
      </w:pPr>
      <w:r>
        <w:rPr>
          <w:rFonts w:ascii="Arial" w:cs="Arial" w:eastAsia="Arial" w:hAnsi="Arial"/>
          <w:color w:val="334155"/>
          <w:sz w:val="22"/>
          <w:szCs w:val="22"/>
        </w:rPr>
        <w:t xml:space="preserve">The 24 adverts run from £30,000 (Square Peg Associates in Bolton) to £45,220 (National Nuclear Laboratory in Birchwood). The middle half sits between £32,500 and £38,625. There are no statistical outliers, but three adverts at £45,000 and above form a separate top group, and one of them is an employee relations specialist role. Without that group, the top of the market is £42,500.</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5326"/>
        <w:gridCol w:w="1500"/>
      </w:tblGrid>
      <w:tr>
        <w:trPr>
          <w:tblHeader/>
        </w:trPr>
        <w:tc>
          <w:tcPr>
            <w:tcW w:type="dxa" w:w="22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Salary band</w:t>
            </w:r>
          </w:p>
        </w:tc>
        <w:tc>
          <w:tcPr>
            <w:tcW w:type="dxa" w:w="5326"/>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Vacancy volume</w:t>
            </w:r>
          </w:p>
        </w:tc>
        <w:tc>
          <w:tcPr>
            <w:tcW w:type="dxa" w:w="15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Count</w:t>
            </w:r>
          </w:p>
        </w:tc>
      </w:tr>
      <w:tr>
        <w:trPr>
          <w:cantSplit/>
        </w:trPr>
        <w:tc>
          <w:tcPr>
            <w:tcW w:type="dxa" w:w="22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£30,000 to £32,499</w:t>
            </w:r>
          </w:p>
        </w:tc>
        <w:tc>
          <w:tcPr>
            <w:tcW w:type="dxa" w:w="53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3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4"/>
              <w:gridCol w:w="1522"/>
            </w:tblGrid>
            <w:tr>
              <w:trPr>
                <w:trHeight w:val="360" w:hRule="exact"/>
              </w:trPr>
              <w:tc>
                <w:tcPr>
                  <w:tcW w:type="dxa" w:w="3804"/>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152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5 vacancies</w:t>
            </w:r>
          </w:p>
        </w:tc>
      </w:tr>
      <w:tr>
        <w:trPr>
          <w:cantSplit/>
        </w:trPr>
        <w:tc>
          <w:tcPr>
            <w:tcW w:type="dxa" w:w="22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£32,500 to £34,999</w:t>
            </w:r>
          </w:p>
        </w:tc>
        <w:tc>
          <w:tcPr>
            <w:tcW w:type="dxa" w:w="53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3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4"/>
              <w:gridCol w:w="1522"/>
            </w:tblGrid>
            <w:tr>
              <w:trPr>
                <w:trHeight w:val="360" w:hRule="exact"/>
              </w:trPr>
              <w:tc>
                <w:tcPr>
                  <w:tcW w:type="dxa" w:w="3804"/>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152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5 vacancies</w:t>
            </w:r>
          </w:p>
        </w:tc>
      </w:tr>
      <w:tr>
        <w:trPr>
          <w:cantSplit/>
        </w:trPr>
        <w:tc>
          <w:tcPr>
            <w:tcW w:type="dxa" w:w="22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£35,000 to £37,499</w:t>
            </w:r>
          </w:p>
        </w:tc>
        <w:tc>
          <w:tcPr>
            <w:tcW w:type="dxa" w:w="53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3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6"/>
            </w:tblGrid>
            <w:tr>
              <w:trPr>
                <w:trHeight w:val="360" w:hRule="exact"/>
              </w:trPr>
              <w:tc>
                <w:tcPr>
                  <w:tcW w:type="dxa" w:w="5326"/>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7 vacancies</w:t>
            </w:r>
          </w:p>
        </w:tc>
      </w:tr>
      <w:tr>
        <w:trPr>
          <w:cantSplit/>
        </w:trPr>
        <w:tc>
          <w:tcPr>
            <w:tcW w:type="dxa" w:w="22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£37,500 to £39,999</w:t>
            </w:r>
          </w:p>
        </w:tc>
        <w:tc>
          <w:tcPr>
            <w:tcW w:type="dxa" w:w="53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3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22"/>
              <w:gridCol w:w="3804"/>
            </w:tblGrid>
            <w:tr>
              <w:trPr>
                <w:trHeight w:val="360" w:hRule="exact"/>
              </w:trPr>
              <w:tc>
                <w:tcPr>
                  <w:tcW w:type="dxa" w:w="1522"/>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380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2 vacancies</w:t>
            </w:r>
          </w:p>
        </w:tc>
      </w:tr>
      <w:tr>
        <w:trPr>
          <w:cantSplit/>
        </w:trPr>
        <w:tc>
          <w:tcPr>
            <w:tcW w:type="dxa" w:w="22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£40,000 to £42,499</w:t>
            </w:r>
          </w:p>
        </w:tc>
        <w:tc>
          <w:tcPr>
            <w:tcW w:type="dxa" w:w="53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3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61"/>
              <w:gridCol w:w="4565"/>
            </w:tblGrid>
            <w:tr>
              <w:trPr>
                <w:trHeight w:val="360" w:hRule="exact"/>
              </w:trPr>
              <w:tc>
                <w:tcPr>
                  <w:tcW w:type="dxa" w:w="761"/>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456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1 vacancy</w:t>
            </w:r>
          </w:p>
        </w:tc>
      </w:tr>
      <w:tr>
        <w:trPr>
          <w:cantSplit/>
        </w:trPr>
        <w:tc>
          <w:tcPr>
            <w:tcW w:type="dxa" w:w="22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£42,500 to £44,999</w:t>
            </w:r>
          </w:p>
        </w:tc>
        <w:tc>
          <w:tcPr>
            <w:tcW w:type="dxa" w:w="53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3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61"/>
              <w:gridCol w:w="4565"/>
            </w:tblGrid>
            <w:tr>
              <w:trPr>
                <w:trHeight w:val="360" w:hRule="exact"/>
              </w:trPr>
              <w:tc>
                <w:tcPr>
                  <w:tcW w:type="dxa" w:w="761"/>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456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1 vacancy</w:t>
            </w:r>
          </w:p>
        </w:tc>
      </w:tr>
      <w:tr>
        <w:trPr>
          <w:cantSplit/>
        </w:trPr>
        <w:tc>
          <w:tcPr>
            <w:tcW w:type="dxa" w:w="22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£45,000 to £47,499</w:t>
            </w:r>
          </w:p>
        </w:tc>
        <w:tc>
          <w:tcPr>
            <w:tcW w:type="dxa" w:w="53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3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3"/>
              <w:gridCol w:w="3043"/>
            </w:tblGrid>
            <w:tr>
              <w:trPr>
                <w:trHeight w:val="360" w:hRule="exact"/>
              </w:trPr>
              <w:tc>
                <w:tcPr>
                  <w:tcW w:type="dxa" w:w="2283"/>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30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 vacancies</w:t>
            </w:r>
          </w:p>
        </w:tc>
      </w:tr>
    </w:tbl>
    <w:p>
      <w:pPr>
        <w:spacing w:after="8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5"/>
        <w:gridCol w:w="1805"/>
        <w:gridCol w:w="1805"/>
        <w:gridCol w:w="1805"/>
        <w:gridCol w:w="1806"/>
      </w:tblGrid>
      <w:tr>
        <w:trPr>
          <w:cantSplit/>
        </w:trPr>
        <w:tc>
          <w:tcPr>
            <w:tcW w:type="dxa" w:w="1805"/>
            <w:tcBorders>
              <w:top w:val="none" w:color="FFFFFF" w:sz="0"/>
              <w:left w:val="single" w:color="FFFFFF" w:sz="12"/>
              <w:bottom w:val="none" w:color="FFFFFF" w:sz="0"/>
              <w:right w:val="single" w:color="FFFFFF" w:sz="12"/>
            </w:tcBorders>
            <w:shd w:fill="F8FAFC" w:color="auto" w:val="clear"/>
            <w:tcMar>
              <w:top w:type="dxa" w:w="100"/>
              <w:left w:type="dxa" w:w="120"/>
              <w:bottom w:type="dxa" w:w="100"/>
              <w:right w:type="dxa" w:w="120"/>
            </w:tcMar>
          </w:tcPr>
          <w:p>
            <w:pPr>
              <w:spacing w:after="0" w:before="0" w:line="300"/>
            </w:pPr>
            <w:r>
              <w:rPr>
                <w:rFonts w:ascii="Arial" w:cs="Arial" w:eastAsia="Arial" w:hAnsi="Arial"/>
                <w:color w:val="64748B"/>
                <w:sz w:val="16"/>
                <w:szCs w:val="16"/>
              </w:rPr>
              <w:t xml:space="preserve">Lowest</w:t>
            </w:r>
          </w:p>
          <w:p>
            <w:pPr>
              <w:spacing w:after="0" w:before="0" w:line="300"/>
            </w:pPr>
            <w:r>
              <w:rPr>
                <w:rFonts w:ascii="Arial" w:cs="Arial" w:eastAsia="Arial" w:hAnsi="Arial"/>
                <w:b/>
                <w:bCs/>
                <w:color w:val="0F172A"/>
                <w:sz w:val="24"/>
                <w:szCs w:val="24"/>
              </w:rPr>
              <w:t xml:space="preserve">£30,000</w:t>
            </w:r>
          </w:p>
        </w:tc>
        <w:tc>
          <w:tcPr>
            <w:tcW w:type="dxa" w:w="1805"/>
            <w:tcBorders>
              <w:top w:val="none" w:color="FFFFFF" w:sz="0"/>
              <w:left w:val="single" w:color="FFFFFF" w:sz="12"/>
              <w:bottom w:val="none" w:color="FFFFFF" w:sz="0"/>
              <w:right w:val="single" w:color="FFFFFF" w:sz="12"/>
            </w:tcBorders>
            <w:shd w:fill="F8FAFC" w:color="auto" w:val="clear"/>
            <w:tcMar>
              <w:top w:type="dxa" w:w="100"/>
              <w:left w:type="dxa" w:w="120"/>
              <w:bottom w:type="dxa" w:w="100"/>
              <w:right w:type="dxa" w:w="120"/>
            </w:tcMar>
          </w:tcPr>
          <w:p>
            <w:pPr>
              <w:spacing w:after="0" w:before="0" w:line="300"/>
            </w:pPr>
            <w:r>
              <w:rPr>
                <w:rFonts w:ascii="Arial" w:cs="Arial" w:eastAsia="Arial" w:hAnsi="Arial"/>
                <w:color w:val="64748B"/>
                <w:sz w:val="16"/>
                <w:szCs w:val="16"/>
              </w:rPr>
              <w:t xml:space="preserve">Lower quartile</w:t>
            </w:r>
          </w:p>
          <w:p>
            <w:pPr>
              <w:spacing w:after="0" w:before="0" w:line="300"/>
            </w:pPr>
            <w:r>
              <w:rPr>
                <w:rFonts w:ascii="Arial" w:cs="Arial" w:eastAsia="Arial" w:hAnsi="Arial"/>
                <w:b/>
                <w:bCs/>
                <w:color w:val="0F172A"/>
                <w:sz w:val="24"/>
                <w:szCs w:val="24"/>
              </w:rPr>
              <w:t xml:space="preserve">£32,500</w:t>
            </w:r>
          </w:p>
        </w:tc>
        <w:tc>
          <w:tcPr>
            <w:tcW w:type="dxa" w:w="1805"/>
            <w:tcBorders>
              <w:top w:val="none" w:color="FFFFFF" w:sz="0"/>
              <w:left w:val="single" w:color="FFFFFF" w:sz="12"/>
              <w:bottom w:val="none" w:color="FFFFFF" w:sz="0"/>
              <w:right w:val="single" w:color="FFFFFF" w:sz="12"/>
            </w:tcBorders>
            <w:shd w:fill="F8FAFC" w:color="auto" w:val="clear"/>
            <w:tcMar>
              <w:top w:type="dxa" w:w="100"/>
              <w:left w:type="dxa" w:w="120"/>
              <w:bottom w:type="dxa" w:w="100"/>
              <w:right w:type="dxa" w:w="120"/>
            </w:tcMar>
          </w:tcPr>
          <w:p>
            <w:pPr>
              <w:spacing w:after="0" w:before="0" w:line="300"/>
            </w:pPr>
            <w:r>
              <w:rPr>
                <w:rFonts w:ascii="Arial" w:cs="Arial" w:eastAsia="Arial" w:hAnsi="Arial"/>
                <w:color w:val="64748B"/>
                <w:sz w:val="16"/>
                <w:szCs w:val="16"/>
              </w:rPr>
              <w:t xml:space="preserve">Median</w:t>
            </w:r>
          </w:p>
          <w:p>
            <w:pPr>
              <w:spacing w:after="0" w:before="0" w:line="300"/>
            </w:pPr>
            <w:r>
              <w:rPr>
                <w:rFonts w:ascii="Arial" w:cs="Arial" w:eastAsia="Arial" w:hAnsi="Arial"/>
                <w:b/>
                <w:bCs/>
                <w:color w:val="0F172A"/>
                <w:sz w:val="24"/>
                <w:szCs w:val="24"/>
              </w:rPr>
              <w:t xml:space="preserve">£35,000</w:t>
            </w:r>
          </w:p>
        </w:tc>
        <w:tc>
          <w:tcPr>
            <w:tcW w:type="dxa" w:w="1805"/>
            <w:tcBorders>
              <w:top w:val="none" w:color="FFFFFF" w:sz="0"/>
              <w:left w:val="single" w:color="FFFFFF" w:sz="12"/>
              <w:bottom w:val="none" w:color="FFFFFF" w:sz="0"/>
              <w:right w:val="single" w:color="FFFFFF" w:sz="12"/>
            </w:tcBorders>
            <w:shd w:fill="F8FAFC" w:color="auto" w:val="clear"/>
            <w:tcMar>
              <w:top w:type="dxa" w:w="100"/>
              <w:left w:type="dxa" w:w="120"/>
              <w:bottom w:type="dxa" w:w="100"/>
              <w:right w:type="dxa" w:w="120"/>
            </w:tcMar>
          </w:tcPr>
          <w:p>
            <w:pPr>
              <w:spacing w:after="0" w:before="0" w:line="300"/>
            </w:pPr>
            <w:r>
              <w:rPr>
                <w:rFonts w:ascii="Arial" w:cs="Arial" w:eastAsia="Arial" w:hAnsi="Arial"/>
                <w:color w:val="64748B"/>
                <w:sz w:val="16"/>
                <w:szCs w:val="16"/>
              </w:rPr>
              <w:t xml:space="preserve">Upper quartile</w:t>
            </w:r>
          </w:p>
          <w:p>
            <w:pPr>
              <w:spacing w:after="0" w:before="0" w:line="300"/>
            </w:pPr>
            <w:r>
              <w:rPr>
                <w:rFonts w:ascii="Arial" w:cs="Arial" w:eastAsia="Arial" w:hAnsi="Arial"/>
                <w:b/>
                <w:bCs/>
                <w:color w:val="0F172A"/>
                <w:sz w:val="24"/>
                <w:szCs w:val="24"/>
              </w:rPr>
              <w:t xml:space="preserve">£38,625</w:t>
            </w:r>
          </w:p>
        </w:tc>
        <w:tc>
          <w:tcPr>
            <w:tcW w:type="dxa" w:w="1806"/>
            <w:tcBorders>
              <w:top w:val="none" w:color="FFFFFF" w:sz="0"/>
              <w:left w:val="single" w:color="FFFFFF" w:sz="12"/>
              <w:bottom w:val="none" w:color="FFFFFF" w:sz="0"/>
              <w:right w:val="single" w:color="FFFFFF" w:sz="12"/>
            </w:tcBorders>
            <w:shd w:fill="F8FAFC" w:color="auto" w:val="clear"/>
            <w:tcMar>
              <w:top w:type="dxa" w:w="100"/>
              <w:left w:type="dxa" w:w="120"/>
              <w:bottom w:type="dxa" w:w="100"/>
              <w:right w:type="dxa" w:w="120"/>
            </w:tcMar>
          </w:tcPr>
          <w:p>
            <w:pPr>
              <w:spacing w:after="0" w:before="0" w:line="300"/>
            </w:pPr>
            <w:r>
              <w:rPr>
                <w:rFonts w:ascii="Arial" w:cs="Arial" w:eastAsia="Arial" w:hAnsi="Arial"/>
                <w:color w:val="64748B"/>
                <w:sz w:val="16"/>
                <w:szCs w:val="16"/>
              </w:rPr>
              <w:t xml:space="preserve">Highest</w:t>
            </w:r>
          </w:p>
          <w:p>
            <w:pPr>
              <w:spacing w:after="0" w:before="0" w:line="300"/>
            </w:pPr>
            <w:r>
              <w:rPr>
                <w:rFonts w:ascii="Arial" w:cs="Arial" w:eastAsia="Arial" w:hAnsi="Arial"/>
                <w:b/>
                <w:bCs/>
                <w:color w:val="0F172A"/>
                <w:sz w:val="24"/>
                <w:szCs w:val="24"/>
              </w:rPr>
              <w:t xml:space="preserve">£45,220</w:t>
            </w:r>
          </w:p>
        </w:tc>
      </w:tr>
    </w:tbl>
    <w:p>
      <w:pPr>
        <w:spacing w:after="12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100"/>
        <w:gridCol w:w="1700"/>
        <w:gridCol w:w="1826"/>
        <w:gridCol w:w="1100"/>
      </w:tblGrid>
      <w:tr>
        <w:trPr>
          <w:cantSplit/>
          <w:tblHeader/>
        </w:trPr>
        <w:tc>
          <w:tcPr>
            <w:tcW w:type="dxa" w:w="23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Role</w:t>
            </w:r>
          </w:p>
        </w:tc>
        <w:tc>
          <w:tcPr>
            <w:tcW w:type="dxa" w:w="21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Employer</w:t>
            </w:r>
          </w:p>
        </w:tc>
        <w:tc>
          <w:tcPr>
            <w:tcW w:type="dxa" w:w="17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Location</w:t>
            </w:r>
          </w:p>
        </w:tc>
        <w:tc>
          <w:tcPr>
            <w:tcW w:type="dxa" w:w="1826"/>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Salary</w:t>
            </w:r>
          </w:p>
        </w:tc>
        <w:tc>
          <w:tcPr>
            <w:tcW w:type="dxa" w:w="11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Source</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l549jxzr0bddwlszy67tf">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National Nuclear Laboratory</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Birchwood Park, Birchwood</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£45,220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fxezwsh8ri9wqlu3acg8r">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Morson Edge</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Oldham, Greater Manchester</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£45,000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v4hpgoe9cfgqg74g4wiob">
              <w:r>
                <w:rPr>
                  <w:rFonts w:ascii="Arial" w:cs="Arial" w:eastAsia="Arial" w:hAnsi="Arial"/>
                  <w:color w:val="4F46E5"/>
                  <w:sz w:val="20"/>
                  <w:szCs w:val="20"/>
                  <w:u w:val="single"/>
                </w:rPr>
                <w:t xml:space="preserve">HR Advisor - Employee Relations</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This is Alexander Faraday Recruitment</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Stockport, Greater Manchester</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£45,000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kdosb5aimz8ekbciszhfb">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This is Alexander Faraday Recruitment </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Stockport</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£40,000 to £45,000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3qzuvea4bzdiybdmqzzkb">
              <w:r>
                <w:rPr>
                  <w:rFonts w:ascii="Arial" w:cs="Arial" w:eastAsia="Arial" w:hAnsi="Arial"/>
                  <w:color w:val="4F46E5"/>
                  <w:sz w:val="20"/>
                  <w:szCs w:val="20"/>
                  <w:u w:val="single"/>
                </w:rPr>
                <w:t xml:space="preserve">HR Advisor (Generalist)</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Michael Page HR</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Runcorn</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£40,000 to £44,000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e4kx4wj_avt7bqhzfxqcc">
              <w:r>
                <w:rPr>
                  <w:rFonts w:ascii="Arial" w:cs="Arial" w:eastAsia="Arial" w:hAnsi="Arial"/>
                  <w:color w:val="4F46E5"/>
                  <w:sz w:val="20"/>
                  <w:szCs w:val="20"/>
                  <w:u w:val="single"/>
                </w:rPr>
                <w:t xml:space="preserve">People &amp; Culture Advisor - Human Resources</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Prime</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Manchester, Greater Manchester</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£38,000 to £40,000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jx5nkdgkkko8jozmas48q">
              <w:r>
                <w:rPr>
                  <w:rFonts w:ascii="Arial" w:cs="Arial" w:eastAsia="Arial" w:hAnsi="Arial"/>
                  <w:color w:val="4F46E5"/>
                  <w:sz w:val="20"/>
                  <w:szCs w:val="20"/>
                  <w:u w:val="single"/>
                </w:rPr>
                <w:t xml:space="preserve">Regional 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Talent Included</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Chorley North Industrial Park</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£35,000 to £42,000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358wxsxqbgk9dinhufh-c">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Birtwistles Catering Butchers</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Irlam</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£35,000 to £38,000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wrugjsdzh2a5vjpazjwyw">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Resolve Personnel</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Irlam, Manchester</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£35,000 to £38,000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ld4mxnapylk9arvwugyip">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MCR Property Group</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Manchester</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£33,000 to £38,000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3u3zzn7ep_oddf_afognu">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ARBORVITAE CARE SERVICES LTD</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Westbrook</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£30,000 to £40,000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a-yujwhfgy2elpvuzo0t">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The Portfolio Group</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Manchester</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£30,000 to £40,000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jkw-1plilhwuqgwuh11ex">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Robert Half</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Wilmslow</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£35,000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pf-chwcab5sshejdn5b-t">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Distinct Consultancy</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Wythenshawe, Manchester</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£33,000 to £37,000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iatit4vilh9_gymthphg7">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Michael Page Business Support</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Manchester</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£34,000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hx3pqj0nrr_ied2n7u8nv">
              <w:r>
                <w:rPr>
                  <w:rFonts w:ascii="Arial" w:cs="Arial" w:eastAsia="Arial" w:hAnsi="Arial"/>
                  <w:color w:val="4F46E5"/>
                  <w:sz w:val="20"/>
                  <w:szCs w:val="20"/>
                  <w:u w:val="single"/>
                </w:rPr>
                <w:t xml:space="preserve">People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Williams Group</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Farnworth, Bolton</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£34,000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2yrq_8pmzl-fq3mgwycmg">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Manchester</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£32,990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jqkyv8cmtntr4fmjhlopn">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The Portfolio Group</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Manchester</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£30,000 to £35,000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qsxprwqzdu3h7lo6w_njg">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Robert Half</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Knutsford</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£30,000 to £35,000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c5lsyqkugy9uejsnqd2hq">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Recruitment Solutions  Ltd</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Healey, Rochdale</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£29,000 to £35,000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nuszlerch-76ziifqhkwr">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The Portfolio Group</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Manchester</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£30,000 to £33,000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qgfu3f2u7a0yvwlxwutva">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Recruitment Solutions (North West) Ltd</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Oldham</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£29,000 to £34,000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(live advert)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jc w:val="left"/>
            </w:pPr>
            <w:hyperlink w:history="1" r:id="rIdsyrq__-bl_vlzvah6bhyp">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Aspire Recruitment</w:t>
            </w:r>
          </w:p>
        </w:tc>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Manchester, Greater Manchester</w:t>
            </w:r>
          </w:p>
        </w:tc>
        <w:tc>
          <w:tcPr>
            <w:tcW w:type="dxa" w:w="18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£30,000 to £32,990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jc w:val="left"/>
            </w:pPr>
            <w:hyperlink w:history="1" r:id="rIdzkcuac8rcxas0-4sanadd">
              <w:r>
                <w:rPr>
                  <w:rFonts w:ascii="Arial" w:cs="Arial" w:eastAsia="Arial" w:hAnsi="Arial"/>
                  <w:color w:val="4F46E5"/>
                  <w:sz w:val="20"/>
                  <w:szCs w:val="20"/>
                  <w:u w:val="single"/>
                </w:rPr>
                <w:t xml:space="preserve">HR Advisor</w:t>
              </w:r>
            </w:hyperlink>
          </w:p>
        </w:tc>
        <w:tc>
          <w:tcPr>
            <w:tcW w:type="dxa" w:w="2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Square Peg Associates</w:t>
            </w:r>
          </w:p>
        </w:tc>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Bolton, Greater Manchester</w:t>
            </w:r>
          </w:p>
        </w:tc>
        <w:tc>
          <w:tcPr>
            <w:tcW w:type="dxa" w:w="18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£28,000 to £32,000</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(live advert)</w:t>
            </w:r>
          </w:p>
        </w:tc>
      </w:tr>
    </w:tbl>
    <w:p>
      <w:pPr>
        <w:spacing w:after="160" w:before="80" w:line="300"/>
      </w:pPr>
      <w:r>
        <w:rPr>
          <w:rFonts w:ascii="Arial" w:cs="Arial" w:eastAsia="Arial" w:hAnsi="Arial"/>
          <w:color w:val="64748B"/>
          <w:sz w:val="16"/>
          <w:szCs w:val="16"/>
        </w:rPr>
        <w:t xml:space="preserve">Each role title links to the advert on Reed or Adzuna. Links to live adverts stop working once the advert closes, so they reflect the market on 25 September 2026.</w:t>
      </w:r>
    </w:p>
    <w:p>
      <w:pPr>
        <w:keepNext/>
        <w:spacing w:after="80" w:before="240"/>
      </w:pPr>
      <w:r>
        <w:rPr>
          <w:rFonts w:ascii="Arial" w:cs="Arial" w:eastAsia="Arial" w:hAnsi="Arial"/>
          <w:b/>
          <w:bCs/>
          <w:color w:val="4338CA"/>
          <w:sz w:val="24"/>
          <w:szCs w:val="24"/>
        </w:rPr>
        <w:t xml:space="preserve">Does paying more bring more applicants?</w:t>
      </w:r>
    </w:p>
    <w:p>
      <w:pPr>
        <w:spacing w:after="160" w:before="0" w:line="300"/>
      </w:pPr>
      <w:r>
        <w:rPr>
          <w:rFonts w:ascii="Arial" w:cs="Arial" w:eastAsia="Arial" w:hAnsi="Arial"/>
          <w:color w:val="334155"/>
          <w:sz w:val="22"/>
          <w:szCs w:val="22"/>
        </w:rPr>
        <w:t xml:space="preserve">Among 14 Reed adverts, the eight paying £35,000 or more drew a median of 1.21 applications a day, against 0.9 for the six paying less. That points towards better-paid adverts attracting more interest, though the sample is small and the brand and wording of each advert matter too.</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1500"/>
        <w:gridCol w:w="3526"/>
      </w:tblGrid>
      <w:tr>
        <w:trPr>
          <w:cantSplit/>
          <w:tblHeader/>
        </w:trPr>
        <w:tc>
          <w:tcPr>
            <w:tcW w:type="dxa" w:w="40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Adverts</w:t>
            </w:r>
          </w:p>
        </w:tc>
        <w:tc>
          <w:tcPr>
            <w:tcW w:type="dxa" w:w="15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Number</w:t>
            </w:r>
          </w:p>
        </w:tc>
        <w:tc>
          <w:tcPr>
            <w:tcW w:type="dxa" w:w="3526"/>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Median applications per day</w:t>
            </w:r>
          </w:p>
        </w:tc>
      </w:tr>
      <w:tr>
        <w:trPr>
          <w:cantSplit/>
        </w:trPr>
        <w:tc>
          <w:tcPr>
            <w:tcW w:type="dxa" w:w="4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Paying £35,000 or more</w:t>
            </w: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8</w:t>
            </w:r>
          </w:p>
        </w:tc>
        <w:tc>
          <w:tcPr>
            <w:tcW w:type="dxa" w:w="35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1.21</w:t>
            </w:r>
          </w:p>
        </w:tc>
      </w:tr>
      <w:tr>
        <w:trPr>
          <w:cantSplit/>
        </w:trPr>
        <w:tc>
          <w:tcPr>
            <w:tcW w:type="dxa" w:w="40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Paying under £35,000</w:t>
            </w:r>
          </w:p>
        </w:tc>
        <w:tc>
          <w:tcPr>
            <w:tcW w:type="dxa" w:w="15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6</w:t>
            </w:r>
          </w:p>
        </w:tc>
        <w:tc>
          <w:tcPr>
            <w:tcW w:type="dxa" w:w="35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0.9</w:t>
            </w:r>
          </w:p>
        </w:tc>
      </w:tr>
    </w:tbl>
    <w:p>
      <w:pPr>
        <w:spacing w:after="160" w:before="80" w:line="300"/>
      </w:pPr>
      <w:r>
        <w:rPr>
          <w:rFonts w:ascii="Arial" w:cs="Arial" w:eastAsia="Arial" w:hAnsi="Arial"/>
          <w:color w:val="64748B"/>
          <w:sz w:val="16"/>
          <w:szCs w:val="16"/>
        </w:rPr>
        <w:t xml:space="preserve">Reed application counts only, shown as medians. Small sample, and application numbers also depend on the advert, the employer's brand and how widely it was promoted. Treat as a direction, not a forecast.</w:t>
      </w:r>
    </w:p>
    <w:p>
      <w:pPr>
        <w:keepNext/>
        <w:pBdr>
          <w:bottom w:val="single" w:color="6366F1" w:sz="12" w:space="4"/>
        </w:pBdr>
        <w:spacing w:after="120" w:before="320"/>
      </w:pPr>
      <w:r>
        <w:rPr>
          <w:rFonts w:ascii="Arial" w:cs="Arial" w:eastAsia="Arial" w:hAnsi="Arial"/>
          <w:b/>
          <w:bCs/>
          <w:color w:val="0F172A"/>
          <w:sz w:val="30"/>
          <w:szCs w:val="30"/>
        </w:rPr>
        <w:t xml:space="preserve">What employers actually pay (ONS)</w:t>
      </w:r>
    </w:p>
    <w:p>
      <w:pPr>
        <w:spacing w:after="160" w:before="0" w:line="300"/>
      </w:pPr>
      <w:r>
        <w:rPr>
          <w:rFonts w:ascii="Arial" w:cs="Arial" w:eastAsia="Arial" w:hAnsi="Arial"/>
          <w:color w:val="334155"/>
          <w:sz w:val="22"/>
          <w:szCs w:val="22"/>
        </w:rPr>
        <w:t xml:space="preserve">We matched the role to ONS occupation 3571, human resources and industrial relations officers, the category that covers HR advisors. The UK median is £35,194 (ASHE 2025). Adjusted for Manchester pay (1.037 times the UK median) and wage growth since April 2025, that is about £38,700 today, with the middle half between about £32,000 and £48,100.</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26"/>
        <w:gridCol w:w="1450"/>
        <w:gridCol w:w="1450"/>
        <w:gridCol w:w="1450"/>
        <w:gridCol w:w="1450"/>
      </w:tblGrid>
      <w:tr>
        <w:trPr>
          <w:cantSplit/>
          <w:tblHeader/>
        </w:trPr>
        <w:tc>
          <w:tcPr>
            <w:tcW w:type="dxa" w:w="3226"/>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Occupation</w:t>
            </w:r>
          </w:p>
        </w:tc>
        <w:tc>
          <w:tcPr>
            <w:tcW w:type="dxa" w:w="145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UK median</w:t>
            </w:r>
          </w:p>
        </w:tc>
        <w:tc>
          <w:tcPr>
            <w:tcW w:type="dxa" w:w="145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Local today 25th</w:t>
            </w:r>
          </w:p>
        </w:tc>
        <w:tc>
          <w:tcPr>
            <w:tcW w:type="dxa" w:w="145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Local today median</w:t>
            </w:r>
          </w:p>
        </w:tc>
        <w:tc>
          <w:tcPr>
            <w:tcW w:type="dxa" w:w="145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Local today 75th</w:t>
            </w:r>
          </w:p>
        </w:tc>
      </w:tr>
      <w:tr>
        <w:trPr>
          <w:cantSplit/>
        </w:trPr>
        <w:tc>
          <w:tcPr>
            <w:tcW w:type="dxa" w:w="32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3571 Human resources and industrial relations officers (primary)</w:t>
            </w:r>
          </w:p>
        </w:tc>
        <w:tc>
          <w:tcPr>
            <w:tcW w:type="dxa" w:w="145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£35,194</w:t>
            </w:r>
          </w:p>
        </w:tc>
        <w:tc>
          <w:tcPr>
            <w:tcW w:type="dxa" w:w="145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£32,045</w:t>
            </w:r>
          </w:p>
        </w:tc>
        <w:tc>
          <w:tcPr>
            <w:tcW w:type="dxa" w:w="145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£38,735</w:t>
            </w:r>
          </w:p>
        </w:tc>
        <w:tc>
          <w:tcPr>
            <w:tcW w:type="dxa" w:w="145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£48,135</w:t>
            </w:r>
          </w:p>
        </w:tc>
      </w:tr>
    </w:tbl>
    <w:p>
      <w:pPr>
        <w:spacing w:after="160" w:before="80" w:line="300"/>
      </w:pPr>
      <w:r>
        <w:rPr>
          <w:rFonts w:ascii="Arial" w:cs="Arial" w:eastAsia="Arial" w:hAnsi="Arial"/>
          <w:color w:val="64748B"/>
          <w:sz w:val="16"/>
          <w:szCs w:val="16"/>
        </w:rPr>
        <w:t xml:space="preserve">Full-time gross annual pay, ONS ASHE Table 14 (2025 provisional). Local today figures multiply the UK figure by the location index (1.037) and by earnings growth since April 2025 (1.0615). Both adjustments are estimates made for this report.</w:t>
      </w:r>
    </w:p>
    <w:p>
      <w:pPr>
        <w:spacing w:after="160" w:before="80" w:line="300"/>
      </w:pPr>
      <w:r>
        <w:rPr>
          <w:rFonts w:ascii="Arial" w:cs="Arial" w:eastAsia="Arial" w:hAnsi="Arial"/>
          <w:color w:val="64748B"/>
          <w:sz w:val="16"/>
          <w:szCs w:val="16"/>
        </w:rPr>
        <w:t xml:space="preserve">Location index 1.037: Manchester full-time median £40,479 vs UK £39,039 (ASHE 2025).</w:t>
      </w:r>
    </w:p>
    <w:p>
      <w:pPr>
        <w:keepNext/>
        <w:spacing w:after="80" w:before="240"/>
      </w:pPr>
      <w:r>
        <w:rPr>
          <w:rFonts w:ascii="Arial" w:cs="Arial" w:eastAsia="Arial" w:hAnsi="Arial"/>
          <w:b/>
          <w:bCs/>
          <w:color w:val="4338CA"/>
          <w:sz w:val="24"/>
          <w:szCs w:val="24"/>
        </w:rPr>
        <w:t xml:space="preserve">Advertised pay over the last 12 months</w:t>
      </w:r>
    </w:p>
    <w:p>
      <w:pPr>
        <w:spacing w:after="160" w:before="0" w:line="300"/>
      </w:pPr>
      <w:r>
        <w:rPr>
          <w:rFonts w:ascii="Arial" w:cs="Arial" w:eastAsia="Arial" w:hAnsi="Arial"/>
          <w:color w:val="334155"/>
          <w:sz w:val="22"/>
          <w:szCs w:val="22"/>
        </w:rPr>
        <w:t xml:space="preserve">UK adverts for HR Advisors averaged £38,293 in September 2025 and £41,738 in August 2026, a rise of 9%. April and May 2026 were unusually high at £44,973 and £43,576, so treat the exact figure with care. The direction is up.</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5526"/>
        <w:gridCol w:w="1500"/>
      </w:tblGrid>
      <w:tr>
        <w:trPr>
          <w:tblHeader/>
        </w:trPr>
        <w:tc>
          <w:tcPr>
            <w:tcW w:type="dxa" w:w="20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Month</w:t>
            </w:r>
          </w:p>
        </w:tc>
        <w:tc>
          <w:tcPr>
            <w:tcW w:type="dxa" w:w="5526"/>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Average advertised salary</w:t>
            </w:r>
          </w:p>
        </w:tc>
        <w:tc>
          <w:tcPr>
            <w:tcW w:type="dxa" w:w="15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Salary</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Sept 2025</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8"/>
              <w:gridCol w:w="3218"/>
            </w:tblGrid>
            <w:tr>
              <w:trPr>
                <w:trHeight w:val="360" w:hRule="exact"/>
              </w:trPr>
              <w:tc>
                <w:tcPr>
                  <w:tcW w:type="dxa" w:w="2308"/>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321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£38,293</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Oct 2025</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0"/>
              <w:gridCol w:w="3096"/>
            </w:tblGrid>
            <w:tr>
              <w:trPr>
                <w:trHeight w:val="360" w:hRule="exact"/>
              </w:trPr>
              <w:tc>
                <w:tcPr>
                  <w:tcW w:type="dxa" w:w="2430"/>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30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£38,546</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Nov 2025</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91"/>
              <w:gridCol w:w="3335"/>
            </w:tblGrid>
            <w:tr>
              <w:trPr>
                <w:trHeight w:val="360" w:hRule="exact"/>
              </w:trPr>
              <w:tc>
                <w:tcPr>
                  <w:tcW w:type="dxa" w:w="2191"/>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33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£38,049</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Dec 2025</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93"/>
              <w:gridCol w:w="3733"/>
            </w:tblGrid>
            <w:tr>
              <w:trPr>
                <w:trHeight w:val="360" w:hRule="exact"/>
              </w:trPr>
              <w:tc>
                <w:tcPr>
                  <w:tcW w:type="dxa" w:w="1793"/>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373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£37,225</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Jan 2026</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63"/>
              <w:gridCol w:w="2663"/>
            </w:tblGrid>
            <w:tr>
              <w:trPr>
                <w:trHeight w:val="360" w:hRule="exact"/>
              </w:trPr>
              <w:tc>
                <w:tcPr>
                  <w:tcW w:type="dxa" w:w="2863"/>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266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£39,446</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Feb 2026</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3"/>
              <w:gridCol w:w="2813"/>
            </w:tblGrid>
            <w:tr>
              <w:trPr>
                <w:trHeight w:val="360" w:hRule="exact"/>
              </w:trPr>
              <w:tc>
                <w:tcPr>
                  <w:tcW w:type="dxa" w:w="2713"/>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28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£39,133</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Mar 2026</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35"/>
              <w:gridCol w:w="2691"/>
            </w:tblGrid>
            <w:tr>
              <w:trPr>
                <w:trHeight w:val="360" w:hRule="exact"/>
              </w:trPr>
              <w:tc>
                <w:tcPr>
                  <w:tcW w:type="dxa" w:w="2835"/>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26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£39,387</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Apr 2026</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526"/>
            </w:tblGrid>
            <w:tr>
              <w:trPr>
                <w:trHeight w:val="360" w:hRule="exact"/>
              </w:trPr>
              <w:tc>
                <w:tcPr>
                  <w:tcW w:type="dxa" w:w="5526"/>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£44,973</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May 2026</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3"/>
              <w:gridCol w:w="673"/>
            </w:tblGrid>
            <w:tr>
              <w:trPr>
                <w:trHeight w:val="360" w:hRule="exact"/>
              </w:trPr>
              <w:tc>
                <w:tcPr>
                  <w:tcW w:type="dxa" w:w="4853"/>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6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£43,576</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Jun 2026</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87"/>
              <w:gridCol w:w="2839"/>
            </w:tblGrid>
            <w:tr>
              <w:trPr>
                <w:trHeight w:val="360" w:hRule="exact"/>
              </w:trPr>
              <w:tc>
                <w:tcPr>
                  <w:tcW w:type="dxa" w:w="2687"/>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283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£39,079</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Jul 2026</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93"/>
              <w:gridCol w:w="2433"/>
            </w:tblGrid>
            <w:tr>
              <w:trPr>
                <w:trHeight w:val="360" w:hRule="exact"/>
              </w:trPr>
              <w:tc>
                <w:tcPr>
                  <w:tcW w:type="dxa" w:w="3093"/>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243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£39,922</w:t>
            </w:r>
          </w:p>
        </w:tc>
      </w:tr>
      <w:tr>
        <w:trPr>
          <w:cantSplit/>
        </w:trPr>
        <w:tc>
          <w:tcPr>
            <w:tcW w:type="dxa" w:w="2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pPr>
            <w:r>
              <w:rPr>
                <w:rFonts w:ascii="Arial" w:cs="Arial" w:eastAsia="Arial" w:hAnsi="Arial"/>
                <w:color w:val="334155"/>
                <w:sz w:val="20"/>
                <w:szCs w:val="20"/>
              </w:rPr>
              <w:t xml:space="preserve">Aug 2026</w:t>
            </w:r>
          </w:p>
        </w:tc>
        <w:tc>
          <w:tcPr>
            <w:tcW w:type="dxa" w:w="5526"/>
            <w:tcBorders>
              <w:top w:val="none" w:color="FFFFFF" w:sz="0"/>
              <w:left w:val="none" w:color="FFFFFF" w:sz="0"/>
              <w:bottom w:val="single" w:color="E2E8F0" w:sz="2"/>
              <w:right w:val="none" w:color="FFFFFF" w:sz="0"/>
            </w:tcBorders>
            <w:shd w:fill="F8FAFC" w:color="auto" w:val="clear"/>
            <w:tcMar>
              <w:top w:type="dxa" w:w="70"/>
              <w:left w:type="dxa" w:w="0"/>
              <w:bottom w:type="dxa" w:w="70"/>
              <w:right w:type="dxa" w:w="0"/>
            </w:tcMar>
            <w:vAlign w:val="center"/>
          </w:tcPr>
          <w:tbl>
            <w:tblPr>
              <w:tblW w:type="dxa" w:w="55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67"/>
              <w:gridCol w:w="1559"/>
            </w:tblGrid>
            <w:tr>
              <w:trPr>
                <w:trHeight w:val="360" w:hRule="exact"/>
              </w:trPr>
              <w:tc>
                <w:tcPr>
                  <w:tcW w:type="dxa" w:w="3967"/>
                  <w:tcBorders>
                    <w:top w:val="none" w:color="FFFFFF" w:sz="0"/>
                    <w:left w:val="none" w:color="FFFFFF" w:sz="0"/>
                    <w:bottom w:val="none" w:color="FFFFFF" w:sz="0"/>
                    <w:right w:val="none" w:color="FFFFFF" w:sz="0"/>
                  </w:tcBorders>
                  <w:shd w:fill="6366F1" w:color="auto" w:val="clear"/>
                  <w:tcMar>
                    <w:top w:type="dxa" w:w="0"/>
                    <w:left w:type="dxa" w:w="0"/>
                    <w:bottom w:type="dxa" w:w="0"/>
                    <w:right w:type="dxa" w:w="0"/>
                  </w:tcMar>
                </w:tcPr>
                <w:p>
                  <w:pPr>
                    <w:spacing w:after="0" w:line="20"/>
                  </w:pPr>
                </w:p>
              </w:tc>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line="20"/>
                  </w:pPr>
                </w:p>
              </w:tc>
            </w:tr>
          </w:tbl>
          <w:p>
            <w:pPr>
              <w:spacing w:after="0" w:line="20"/>
            </w:pP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b/>
                <w:bCs/>
                <w:color w:val="0F172A"/>
                <w:sz w:val="20"/>
                <w:szCs w:val="20"/>
              </w:rPr>
              <w:t xml:space="preserve">£41,738</w:t>
            </w:r>
          </w:p>
        </w:tc>
      </w:tr>
    </w:tbl>
    <w:p>
      <w:pPr>
        <w:spacing w:after="160" w:before="80" w:line="300"/>
      </w:pPr>
      <w:r>
        <w:rPr>
          <w:rFonts w:ascii="Arial" w:cs="Arial" w:eastAsia="Arial" w:hAnsi="Arial"/>
          <w:color w:val="64748B"/>
          <w:sz w:val="16"/>
          <w:szCs w:val="16"/>
        </w:rPr>
        <w:t xml:space="preserve">'hr advisor' adverts, UK, Adzuna. Bars start at £33,503, not zero. Average advertised salary on Adzuna across the UK. It moves with the mix of jobs advertised each month, so read it as direction of travel.</w:t>
      </w:r>
    </w:p>
    <w:p>
      <w:pPr>
        <w:keepNext/>
        <w:pBdr>
          <w:bottom w:val="single" w:color="6366F1" w:sz="12" w:space="4"/>
        </w:pBdr>
        <w:spacing w:after="120" w:before="320"/>
      </w:pPr>
      <w:r>
        <w:rPr>
          <w:rFonts w:ascii="Arial" w:cs="Arial" w:eastAsia="Arial" w:hAnsi="Arial"/>
          <w:b/>
          <w:bCs/>
          <w:color w:val="0F172A"/>
          <w:sz w:val="30"/>
          <w:szCs w:val="30"/>
        </w:rPr>
        <w:t xml:space="preserve">Choosing where to offer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300"/>
        <w:gridCol w:w="6026"/>
      </w:tblGrid>
      <w:tr>
        <w:trPr>
          <w:cantSplit/>
          <w:tblHeader/>
        </w:trPr>
        <w:tc>
          <w:tcPr>
            <w:tcW w:type="dxa" w:w="17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Offer</w:t>
            </w:r>
          </w:p>
        </w:tc>
        <w:tc>
          <w:tcPr>
            <w:tcW w:type="dxa" w:w="13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Salary</w:t>
            </w:r>
          </w:p>
        </w:tc>
        <w:tc>
          <w:tcPr>
            <w:tcW w:type="dxa" w:w="6026"/>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Who it buys</w:t>
            </w:r>
          </w:p>
        </w:tc>
      </w:tr>
      <w:tr>
        <w:trPr>
          <w:cantSplit/>
        </w:trPr>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Entry offer</w:t>
            </w:r>
          </w:p>
        </w:tc>
        <w:tc>
          <w:tcPr>
            <w:tcW w:type="dxa" w:w="1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£35,000</w:t>
            </w:r>
          </w:p>
        </w:tc>
        <w:tc>
          <w:tcPr>
            <w:tcW w:type="dxa" w:w="60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 capable advisor with CIPD Level 3 or early Level 5, who has supported casework and advised managers with some guidance.</w:t>
            </w:r>
          </w:p>
        </w:tc>
      </w:tr>
      <w:tr>
        <w:trPr>
          <w:cantSplit/>
        </w:trPr>
        <w:tc>
          <w:tcPr>
            <w:tcW w:type="dxa" w:w="17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Target offer</w:t>
            </w:r>
          </w:p>
        </w:tc>
        <w:tc>
          <w:tcPr>
            <w:tcW w:type="dxa" w:w="1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£36,000</w:t>
            </w:r>
          </w:p>
        </w:tc>
        <w:tc>
          <w:tcPr>
            <w:tcW w:type="dxa" w:w="60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An experienced generalist who runs their own caseload, advises managers directly and is working towards or holds CIPD Level 5.</w:t>
            </w:r>
          </w:p>
        </w:tc>
      </w:tr>
      <w:tr>
        <w:trPr>
          <w:cantSplit/>
        </w:trPr>
        <w:tc>
          <w:tcPr>
            <w:tcW w:type="dxa" w:w="17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Strong offer</w:t>
            </w:r>
          </w:p>
        </w:tc>
        <w:tc>
          <w:tcPr>
            <w:tcW w:type="dxa" w:w="1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£40,000</w:t>
            </w:r>
          </w:p>
        </w:tc>
        <w:tc>
          <w:tcPr>
            <w:tcW w:type="dxa" w:w="60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An advisor with CIPD Level 5 who has led employee relations cases and a restructure or TUPE, and could cover for an HR manager.</w:t>
            </w:r>
          </w:p>
        </w:tc>
      </w:tr>
    </w:tbl>
    <w:p>
      <w:pPr>
        <w:spacing w:after="12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B45309" w:sz="18"/>
              <w:bottom w:val="none" w:color="FFFFFF" w:sz="0"/>
              <w:right w:val="none" w:color="FFFFFF" w:sz="0"/>
            </w:tcBorders>
            <w:shd w:fill="FEF3C7" w:color="auto" w:val="clear"/>
            <w:tcMar>
              <w:top w:type="dxa" w:w="120"/>
              <w:left w:type="dxa" w:w="180"/>
              <w:bottom w:type="dxa" w:w="120"/>
              <w:right w:type="dxa" w:w="120"/>
            </w:tcMar>
          </w:tcPr>
          <w:p>
            <w:pPr>
              <w:spacing w:after="60" w:before="0" w:line="300"/>
            </w:pPr>
            <w:r>
              <w:rPr>
                <w:rFonts w:ascii="Arial" w:cs="Arial" w:eastAsia="Arial" w:hAnsi="Arial"/>
                <w:b/>
                <w:bCs/>
                <w:color w:val="B45309"/>
                <w:sz w:val="22"/>
                <w:szCs w:val="22"/>
              </w:rPr>
              <w:t xml:space="preserve">Offer at the entry point if:</w:t>
            </w:r>
          </w:p>
          <w:p>
            <w:pPr>
              <w:spacing w:after="40" w:before="0" w:line="300"/>
            </w:pPr>
            <w:r>
              <w:rPr>
                <w:rFonts w:ascii="Arial" w:cs="Arial" w:eastAsia="Arial" w:hAnsi="Arial"/>
                <w:color w:val="B45309"/>
                <w:sz w:val="20"/>
                <w:szCs w:val="20"/>
              </w:rPr>
              <w:t xml:space="preserve">•  The role has a senior HR person close by to support decisions</w:t>
            </w:r>
          </w:p>
          <w:p>
            <w:pPr>
              <w:spacing w:after="40" w:before="0" w:line="300"/>
            </w:pPr>
            <w:r>
              <w:rPr>
                <w:rFonts w:ascii="Arial" w:cs="Arial" w:eastAsia="Arial" w:hAnsi="Arial"/>
                <w:color w:val="B45309"/>
                <w:sz w:val="20"/>
                <w:szCs w:val="20"/>
              </w:rPr>
              <w:t xml:space="preserve">•  Casework is mostly routine, with few complex cases</w:t>
            </w:r>
          </w:p>
          <w:p>
            <w:pPr>
              <w:spacing w:after="40" w:before="0" w:line="300"/>
            </w:pPr>
            <w:r>
              <w:rPr>
                <w:rFonts w:ascii="Arial" w:cs="Arial" w:eastAsia="Arial" w:hAnsi="Arial"/>
                <w:color w:val="B45309"/>
                <w:sz w:val="20"/>
                <w:szCs w:val="20"/>
              </w:rPr>
              <w:t xml:space="preserve">•  You are happy to develop someone into the role</w:t>
            </w:r>
          </w:p>
          <w:p>
            <w:pPr>
              <w:spacing w:after="40" w:before="0" w:line="300"/>
            </w:pPr>
            <w:r>
              <w:rPr>
                <w:rFonts w:ascii="Arial" w:cs="Arial" w:eastAsia="Arial" w:hAnsi="Arial"/>
                <w:color w:val="B45309"/>
                <w:sz w:val="20"/>
                <w:szCs w:val="20"/>
              </w:rPr>
              <w:t xml:space="preserve">•  Other parts of the package, such as hybrid working, are strong</w:t>
            </w:r>
          </w:p>
        </w:tc>
      </w:tr>
    </w:tbl>
    <w:p>
      <w:pPr>
        <w:spacing w:after="8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10B981" w:sz="18"/>
              <w:bottom w:val="none" w:color="FFFFFF" w:sz="0"/>
              <w:right w:val="none" w:color="FFFFFF" w:sz="0"/>
            </w:tcBorders>
            <w:shd w:fill="ECFDF5" w:color="auto" w:val="clear"/>
            <w:tcMar>
              <w:top w:type="dxa" w:w="120"/>
              <w:left w:type="dxa" w:w="180"/>
              <w:bottom w:type="dxa" w:w="120"/>
              <w:right w:type="dxa" w:w="120"/>
            </w:tcMar>
          </w:tcPr>
          <w:p>
            <w:pPr>
              <w:spacing w:after="60" w:before="0" w:line="300"/>
            </w:pPr>
            <w:r>
              <w:rPr>
                <w:rFonts w:ascii="Arial" w:cs="Arial" w:eastAsia="Arial" w:hAnsi="Arial"/>
                <w:b/>
                <w:bCs/>
                <w:color w:val="047857"/>
                <w:sz w:val="22"/>
                <w:szCs w:val="22"/>
              </w:rPr>
              <w:t xml:space="preserve">Offer at the target if:</w:t>
            </w:r>
          </w:p>
          <w:p>
            <w:pPr>
              <w:spacing w:after="40" w:before="0" w:line="300"/>
            </w:pPr>
            <w:r>
              <w:rPr>
                <w:rFonts w:ascii="Arial" w:cs="Arial" w:eastAsia="Arial" w:hAnsi="Arial"/>
                <w:color w:val="047857"/>
                <w:sz w:val="20"/>
                <w:szCs w:val="20"/>
              </w:rPr>
              <w:t xml:space="preserve">•  The advisor will manage their own caseload</w:t>
            </w:r>
          </w:p>
          <w:p>
            <w:pPr>
              <w:spacing w:after="40" w:before="0" w:line="300"/>
            </w:pPr>
            <w:r>
              <w:rPr>
                <w:rFonts w:ascii="Arial" w:cs="Arial" w:eastAsia="Arial" w:hAnsi="Arial"/>
                <w:color w:val="047857"/>
                <w:sz w:val="20"/>
                <w:szCs w:val="20"/>
              </w:rPr>
              <w:t xml:space="preserve">•  Managers will come to them directly for advice</w:t>
            </w:r>
          </w:p>
          <w:p>
            <w:pPr>
              <w:spacing w:after="40" w:before="0" w:line="300"/>
            </w:pPr>
            <w:r>
              <w:rPr>
                <w:rFonts w:ascii="Arial" w:cs="Arial" w:eastAsia="Arial" w:hAnsi="Arial"/>
                <w:color w:val="047857"/>
                <w:sz w:val="20"/>
                <w:szCs w:val="20"/>
              </w:rPr>
              <w:t xml:space="preserve">•  You want a good field of experienced applicants</w:t>
            </w:r>
          </w:p>
          <w:p>
            <w:pPr>
              <w:spacing w:after="40" w:before="0" w:line="300"/>
            </w:pPr>
            <w:r>
              <w:rPr>
                <w:rFonts w:ascii="Arial" w:cs="Arial" w:eastAsia="Arial" w:hAnsi="Arial"/>
                <w:color w:val="047857"/>
                <w:sz w:val="20"/>
                <w:szCs w:val="20"/>
              </w:rPr>
              <w:t xml:space="preserve">•  The role covers one site or business area</w:t>
            </w:r>
          </w:p>
        </w:tc>
      </w:tr>
    </w:tbl>
    <w:p>
      <w:pPr>
        <w:spacing w:after="8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0D9488" w:sz="18"/>
              <w:bottom w:val="none" w:color="FFFFFF" w:sz="0"/>
              <w:right w:val="none" w:color="FFFFFF" w:sz="0"/>
            </w:tcBorders>
            <w:shd w:fill="ECFEF5" w:color="auto" w:val="clear"/>
            <w:tcMar>
              <w:top w:type="dxa" w:w="120"/>
              <w:left w:type="dxa" w:w="180"/>
              <w:bottom w:type="dxa" w:w="120"/>
              <w:right w:type="dxa" w:w="120"/>
            </w:tcMar>
          </w:tcPr>
          <w:p>
            <w:pPr>
              <w:spacing w:after="60" w:before="0" w:line="300"/>
            </w:pPr>
            <w:r>
              <w:rPr>
                <w:rFonts w:ascii="Arial" w:cs="Arial" w:eastAsia="Arial" w:hAnsi="Arial"/>
                <w:b/>
                <w:bCs/>
                <w:color w:val="0F766E"/>
                <w:sz w:val="22"/>
                <w:szCs w:val="22"/>
              </w:rPr>
              <w:t xml:space="preserve">Offer at the strong point if:</w:t>
            </w:r>
          </w:p>
          <w:p>
            <w:pPr>
              <w:spacing w:after="40" w:before="0" w:line="300"/>
            </w:pPr>
            <w:r>
              <w:rPr>
                <w:rFonts w:ascii="Arial" w:cs="Arial" w:eastAsia="Arial" w:hAnsi="Arial"/>
                <w:color w:val="0F766E"/>
                <w:sz w:val="20"/>
                <w:szCs w:val="20"/>
              </w:rPr>
              <w:t xml:space="preserve">•  The advisor will run complex employee relations cases alone</w:t>
            </w:r>
          </w:p>
          <w:p>
            <w:pPr>
              <w:spacing w:after="40" w:before="0" w:line="300"/>
            </w:pPr>
            <w:r>
              <w:rPr>
                <w:rFonts w:ascii="Arial" w:cs="Arial" w:eastAsia="Arial" w:hAnsi="Arial"/>
                <w:color w:val="0F766E"/>
                <w:sz w:val="20"/>
                <w:szCs w:val="20"/>
              </w:rPr>
              <w:t xml:space="preserve">•  A restructure, redundancy or TUPE is coming up</w:t>
            </w:r>
          </w:p>
          <w:p>
            <w:pPr>
              <w:spacing w:after="40" w:before="0" w:line="300"/>
            </w:pPr>
            <w:r>
              <w:rPr>
                <w:rFonts w:ascii="Arial" w:cs="Arial" w:eastAsia="Arial" w:hAnsi="Arial"/>
                <w:color w:val="0F766E"/>
                <w:sz w:val="20"/>
                <w:szCs w:val="20"/>
              </w:rPr>
              <w:t xml:space="preserve">•  The role covers several sites or a large headcount</w:t>
            </w:r>
          </w:p>
          <w:p>
            <w:pPr>
              <w:spacing w:after="40" w:before="0" w:line="300"/>
            </w:pPr>
            <w:r>
              <w:rPr>
                <w:rFonts w:ascii="Arial" w:cs="Arial" w:eastAsia="Arial" w:hAnsi="Arial"/>
                <w:color w:val="0F766E"/>
                <w:sz w:val="20"/>
                <w:szCs w:val="20"/>
              </w:rPr>
              <w:t xml:space="preserve">•  You need someone who can step up when the HR manager is away</w:t>
            </w:r>
          </w:p>
        </w:tc>
      </w:tr>
    </w:tbl>
    <w:p>
      <w:pPr>
        <w:spacing w:after="80" w:before="0"/>
      </w:pPr>
    </w:p>
    <w:p>
      <w:pPr>
        <w:spacing w:after="160" w:before="0" w:line="300"/>
      </w:pPr>
      <w:r>
        <w:rPr>
          <w:rFonts w:ascii="Arial" w:cs="Arial" w:eastAsia="Arial" w:hAnsi="Arial"/>
          <w:color w:val="334155"/>
          <w:sz w:val="22"/>
          <w:szCs w:val="22"/>
        </w:rPr>
        <w:t xml:space="preserve">At £32,000 the advert beats four of the 24 comparable adverts. At £35,000 it clears the market floor and beats 10, at £36,000 it beats 15, and at £40,000 it beats 19. Going above £40,000 only makes sense for a role with specialist or multi-site scope.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34155" w:sz="18"/>
              <w:bottom w:val="none" w:color="FFFFFF" w:sz="0"/>
              <w:right w:val="none" w:color="FFFFFF" w:sz="0"/>
            </w:tcBorders>
            <w:shd w:fill="F8FAFC" w:color="auto" w:val="clear"/>
            <w:tcMar>
              <w:top w:type="dxa" w:w="120"/>
              <w:left w:type="dxa" w:w="180"/>
              <w:bottom w:type="dxa" w:w="120"/>
              <w:right w:type="dxa" w:w="120"/>
            </w:tcMar>
          </w:tcPr>
          <w:p>
            <w:pPr>
              <w:spacing w:after="0" w:line="288"/>
            </w:pPr>
            <w:r>
              <w:rPr>
                <w:rFonts w:ascii="Arial" w:cs="Arial" w:eastAsia="Arial" w:hAnsi="Arial"/>
                <w:b/>
                <w:bCs/>
                <w:color w:val="0F172A"/>
                <w:sz w:val="24"/>
                <w:szCs w:val="24"/>
              </w:rPr>
              <w:t xml:space="preserve">Bottom line</w:t>
            </w:r>
            <w:r>
              <w:rPr>
                <w:rFonts w:ascii="Arial" w:cs="Arial" w:eastAsia="Arial" w:hAnsi="Arial"/>
                <w:color w:val="0F172A"/>
                <w:sz w:val="22"/>
                <w:szCs w:val="22"/>
              </w:rPr>
              <w:t xml:space="preserve">   Advertise at £35,000 to £38,000, aim to appoint at £36,000, and keep up to £40,000 for a candidate with CIPD Level 5 and strong casework experience.</w:t>
            </w:r>
          </w:p>
        </w:tc>
      </w:tr>
    </w:tbl>
    <w:p>
      <w:pPr>
        <w:keepNext/>
        <w:pBdr>
          <w:bottom w:val="single" w:color="6366F1" w:sz="12" w:space="4"/>
        </w:pBdr>
        <w:spacing w:after="120" w:before="320"/>
      </w:pPr>
      <w:r>
        <w:rPr>
          <w:rFonts w:ascii="Arial" w:cs="Arial" w:eastAsia="Arial" w:hAnsi="Arial"/>
          <w:b/>
          <w:bCs/>
          <w:color w:val="0F172A"/>
          <w:sz w:val="30"/>
          <w:szCs w:val="30"/>
        </w:rPr>
        <w:t xml:space="preserve">Method and data quality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100"/>
        <w:gridCol w:w="1100"/>
        <w:gridCol w:w="4526"/>
      </w:tblGrid>
      <w:tr>
        <w:trPr>
          <w:cantSplit/>
          <w:tblHeader/>
        </w:trPr>
        <w:tc>
          <w:tcPr>
            <w:tcW w:type="dxa" w:w="23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Source</w:t>
            </w:r>
          </w:p>
        </w:tc>
        <w:tc>
          <w:tcPr>
            <w:tcW w:type="dxa" w:w="11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Figure</w:t>
            </w:r>
          </w:p>
        </w:tc>
        <w:tc>
          <w:tcPr>
            <w:tcW w:type="dxa" w:w="11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right"/>
            </w:pPr>
            <w:r>
              <w:rPr>
                <w:rFonts w:ascii="Arial" w:cs="Arial" w:eastAsia="Arial" w:hAnsi="Arial"/>
                <w:b/>
                <w:bCs/>
                <w:color w:val="FFFFFF"/>
                <w:sz w:val="20"/>
                <w:szCs w:val="20"/>
              </w:rPr>
              <w:t xml:space="preserve">Weight</w:t>
            </w:r>
          </w:p>
        </w:tc>
        <w:tc>
          <w:tcPr>
            <w:tcW w:type="dxa" w:w="4526"/>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Why this weight</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Live adverts (24)</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£35,000</w:t>
            </w:r>
          </w:p>
        </w:tc>
        <w:tc>
          <w:tcPr>
            <w:tcW w:type="dxa" w:w="11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71%</w:t>
            </w:r>
          </w:p>
        </w:tc>
        <w:tc>
          <w:tcPr>
            <w:tcW w:type="dxa" w:w="45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median of verified comparable adverts; weight scales with sample size (full weight at 12+)</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ONS ASHE 3571 (local, today)</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£38,735</w:t>
            </w:r>
          </w:p>
        </w:tc>
        <w:tc>
          <w:tcPr>
            <w:tcW w:type="dxa" w:w="11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right"/>
            </w:pPr>
            <w:r>
              <w:rPr>
                <w:rFonts w:ascii="Arial" w:cs="Arial" w:eastAsia="Arial" w:hAnsi="Arial"/>
                <w:color w:val="334155"/>
                <w:sz w:val="20"/>
                <w:szCs w:val="20"/>
              </w:rPr>
              <w:t xml:space="preserve">29%</w:t>
            </w:r>
          </w:p>
        </w:tc>
        <w:tc>
          <w:tcPr>
            <w:tcW w:type="dxa" w:w="45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official payroll median for the occupation, adjusted for location and earnings growth</w:t>
            </w:r>
          </w:p>
        </w:tc>
      </w:tr>
    </w:tbl>
    <w:p>
      <w:pPr>
        <w:spacing w:after="160" w:before="80" w:line="300"/>
      </w:pPr>
      <w:r>
        <w:rPr>
          <w:rFonts w:ascii="Arial" w:cs="Arial" w:eastAsia="Arial" w:hAnsi="Arial"/>
          <w:color w:val="64748B"/>
          <w:sz w:val="16"/>
          <w:szCs w:val="16"/>
        </w:rPr>
        <w:t xml:space="preserve">The range around the target uses the spread of the 24 comparable adverts. Figures are rounded to the nearest £500.</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B45309" w:sz="18"/>
              <w:bottom w:val="none" w:color="FFFFFF" w:sz="0"/>
              <w:right w:val="none" w:color="FFFFFF" w:sz="0"/>
            </w:tcBorders>
            <w:shd w:fill="FEF3C7" w:color="auto" w:val="clear"/>
            <w:tcMar>
              <w:top w:type="dxa" w:w="120"/>
              <w:left w:type="dxa" w:w="180"/>
              <w:bottom w:type="dxa" w:w="120"/>
              <w:right w:type="dxa" w:w="120"/>
            </w:tcMar>
          </w:tcPr>
          <w:p>
            <w:pPr>
              <w:spacing w:after="60" w:before="0" w:line="300"/>
            </w:pPr>
            <w:r>
              <w:rPr>
                <w:rFonts w:ascii="Arial" w:cs="Arial" w:eastAsia="Arial" w:hAnsi="Arial"/>
                <w:b/>
                <w:bCs/>
                <w:color w:val="B45309"/>
                <w:sz w:val="22"/>
                <w:szCs w:val="22"/>
              </w:rPr>
              <w:t xml:space="preserve">Data quality notes</w:t>
            </w:r>
          </w:p>
          <w:p>
            <w:pPr>
              <w:spacing w:after="40" w:before="0" w:line="300"/>
            </w:pPr>
            <w:r>
              <w:rPr>
                <w:rFonts w:ascii="Arial" w:cs="Arial" w:eastAsia="Arial" w:hAnsi="Arial"/>
                <w:color w:val="B45309"/>
                <w:sz w:val="20"/>
                <w:szCs w:val="20"/>
              </w:rPr>
              <w:t xml:space="preserve">•  The ONS occupation data is 17 months old and has been uplifted by UK earnings growth.</w:t>
            </w:r>
          </w:p>
          <w:p>
            <w:pPr>
              <w:spacing w:after="40" w:before="0" w:line="300"/>
            </w:pPr>
            <w:r>
              <w:rPr>
                <w:rFonts w:ascii="Arial" w:cs="Arial" w:eastAsia="Arial" w:hAnsi="Arial"/>
                <w:color w:val="B45309"/>
                <w:sz w:val="20"/>
                <w:szCs w:val="20"/>
              </w:rPr>
              <w:t xml:space="preserve">•  ONS figures are from the April 2025 survey (provisional), adjusted for Manchester and for wage growth since then. These adjustments are our estimates.</w:t>
            </w:r>
          </w:p>
          <w:p>
            <w:pPr>
              <w:spacing w:after="40" w:before="0" w:line="300"/>
            </w:pPr>
            <w:r>
              <w:rPr>
                <w:rFonts w:ascii="Arial" w:cs="Arial" w:eastAsia="Arial" w:hAnsi="Arial"/>
                <w:color w:val="B45309"/>
                <w:sz w:val="20"/>
                <w:szCs w:val="20"/>
              </w:rPr>
              <w:t xml:space="preserve">•  Adzuna estimates salaries for some adverts; we left those out and used only advertised figures.</w:t>
            </w:r>
          </w:p>
        </w:tc>
      </w:tr>
    </w:tbl>
    <w:p>
      <w:pPr>
        <w:spacing w:after="80" w:before="0"/>
      </w:pPr>
    </w:p>
    <w:p>
      <w:pPr>
        <w:spacing w:after="160" w:before="0" w:line="300"/>
      </w:pPr>
      <w:r>
        <w:rPr>
          <w:rFonts w:ascii="Arial" w:cs="Arial" w:eastAsia="Arial" w:hAnsi="Arial"/>
          <w:color w:val="334155"/>
          <w:sz w:val="22"/>
          <w:szCs w:val="22"/>
        </w:rPr>
        <w:t xml:space="preserve">The searches found:</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140 live adverts on Reed</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54 live adverts on Adzuna</w:t>
      </w:r>
    </w:p>
    <w:p>
      <w:pPr>
        <w:spacing w:after="160" w:before="0" w:line="300"/>
      </w:pPr>
      <w:r>
        <w:rPr>
          <w:rFonts w:ascii="Arial" w:cs="Arial" w:eastAsia="Arial" w:hAnsi="Arial"/>
          <w:color w:val="334155"/>
          <w:sz w:val="22"/>
          <w:szCs w:val="22"/>
        </w:rPr>
        <w:t xml:space="preserve">After removing job titles that did not match the role, 73 adverts were checked and 49 were removed. Salaries also had to fall between £16,711 and £123,952.</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16 × salary estimated by Adzuna, not advertised</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15 × contract or temporary</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13 × duplicate</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3 × no salary shown</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1 × part-time</w:t>
      </w:r>
    </w:p>
    <w:p>
      <w:pPr>
        <w:spacing w:after="80" w:line="288"/>
        <w:ind w:left="340" w:hanging="200"/>
      </w:pPr>
      <w:r>
        <w:rPr>
          <w:rFonts w:ascii="Arial" w:cs="Arial" w:eastAsia="Arial" w:hAnsi="Arial"/>
          <w:b/>
          <w:bCs/>
          <w:color w:val="6366F1"/>
          <w:sz w:val="22"/>
          <w:szCs w:val="22"/>
        </w:rPr>
        <w:t xml:space="preserve">•  </w:t>
      </w:r>
      <w:r>
        <w:rPr>
          <w:rFonts w:ascii="Arial" w:cs="Arial" w:eastAsia="Arial" w:hAnsi="Arial"/>
          <w:color w:val="334155"/>
          <w:sz w:val="22"/>
          <w:szCs w:val="22"/>
        </w:rPr>
        <w:t xml:space="preserve">1 × not the same job</w:t>
      </w:r>
    </w:p>
    <w:p>
      <w:pPr>
        <w:keepNext/>
        <w:spacing w:after="80" w:before="240"/>
      </w:pPr>
      <w:r>
        <w:rPr>
          <w:rFonts w:ascii="Arial" w:cs="Arial" w:eastAsia="Arial" w:hAnsi="Arial"/>
          <w:b/>
          <w:bCs/>
          <w:color w:val="4338CA"/>
          <w:sz w:val="24"/>
          <w:szCs w:val="24"/>
        </w:rPr>
        <w:t xml:space="preserve">Sources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226"/>
        <w:gridCol w:w="1500"/>
        <w:gridCol w:w="1000"/>
      </w:tblGrid>
      <w:tr>
        <w:trPr>
          <w:cantSplit/>
          <w:tblHeader/>
        </w:trPr>
        <w:tc>
          <w:tcPr>
            <w:tcW w:type="dxa" w:w="23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Source</w:t>
            </w:r>
          </w:p>
        </w:tc>
        <w:tc>
          <w:tcPr>
            <w:tcW w:type="dxa" w:w="4226"/>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What it covers</w:t>
            </w:r>
          </w:p>
        </w:tc>
        <w:tc>
          <w:tcPr>
            <w:tcW w:type="dxa" w:w="15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Date</w:t>
            </w:r>
          </w:p>
        </w:tc>
        <w:tc>
          <w:tcPr>
            <w:tcW w:type="dxa" w:w="1000"/>
            <w:tcBorders>
              <w:top w:val="none" w:color="FFFFFF" w:sz="0"/>
              <w:left w:val="none" w:color="FFFFFF" w:sz="0"/>
              <w:bottom w:val="none" w:color="FFFFFF" w:sz="0"/>
              <w:right w:val="none" w:color="FFFFFF" w:sz="0"/>
            </w:tcBorders>
            <w:shd w:fill="334155" w:color="auto" w:val="clear"/>
            <w:tcMar>
              <w:top w:type="dxa" w:w="80"/>
              <w:left w:type="dxa" w:w="120"/>
              <w:bottom w:type="dxa" w:w="80"/>
              <w:right w:type="dxa" w:w="120"/>
            </w:tcMar>
          </w:tcPr>
          <w:p>
            <w:pPr>
              <w:spacing w:after="0" w:before="0" w:line="300"/>
              <w:jc w:val="left"/>
            </w:pPr>
            <w:r>
              <w:rPr>
                <w:rFonts w:ascii="Arial" w:cs="Arial" w:eastAsia="Arial" w:hAnsi="Arial"/>
                <w:b/>
                <w:bCs/>
                <w:color w:val="FFFFFF"/>
                <w:sz w:val="20"/>
                <w:szCs w:val="20"/>
              </w:rPr>
              <w:t xml:space="preserve">Status</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Reed API</w:t>
            </w:r>
          </w:p>
        </w:tc>
        <w:tc>
          <w:tcPr>
            <w:tcW w:type="dxa" w:w="42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Live adverts within 15 miles of Manchester</w:t>
            </w: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2026-09-25</w:t>
            </w:r>
          </w:p>
        </w:tc>
        <w:tc>
          <w:tcPr>
            <w:tcW w:type="dxa" w:w="1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used</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Adzuna API</w:t>
            </w:r>
          </w:p>
        </w:tc>
        <w:tc>
          <w:tcPr>
            <w:tcW w:type="dxa" w:w="42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Live adverts and 12-month advertised pay trend</w:t>
            </w:r>
          </w:p>
        </w:tc>
        <w:tc>
          <w:tcPr>
            <w:tcW w:type="dxa" w:w="15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2026-09-25</w:t>
            </w:r>
          </w:p>
        </w:tc>
        <w:tc>
          <w:tcPr>
            <w:tcW w:type="dxa" w:w="10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used</w:t>
            </w:r>
          </w:p>
        </w:tc>
      </w:tr>
      <w:tr>
        <w:trPr>
          <w:cantSplit/>
        </w:trPr>
        <w:tc>
          <w:tcPr>
            <w:tcW w:type="dxa" w:w="23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NOMIS (ONS ASHE by area)</w:t>
            </w:r>
          </w:p>
        </w:tc>
        <w:tc>
          <w:tcPr>
            <w:tcW w:type="dxa" w:w="4226"/>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Local and UK full-time median pay, UK earnings growth</w:t>
            </w:r>
          </w:p>
        </w:tc>
        <w:tc>
          <w:tcPr>
            <w:tcW w:type="dxa" w:w="15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ASHE 2025</w:t>
            </w:r>
          </w:p>
        </w:tc>
        <w:tc>
          <w:tcPr>
            <w:tcW w:type="dxa" w:w="1000"/>
            <w:tcBorders>
              <w:top w:val="none" w:color="FFFFFF" w:sz="0"/>
              <w:left w:val="none" w:color="FFFFFF" w:sz="0"/>
              <w:bottom w:val="single" w:color="E2E8F0" w:sz="2"/>
              <w:right w:val="none" w:color="FFFFFF" w:sz="0"/>
            </w:tcBorders>
            <w:shd w:fill="F8FAFC"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used</w:t>
            </w:r>
          </w:p>
        </w:tc>
      </w:tr>
      <w:tr>
        <w:trPr>
          <w:cantSplit/>
        </w:trPr>
        <w:tc>
          <w:tcPr>
            <w:tcW w:type="dxa" w:w="23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ONS ASHE Table 14</w:t>
            </w:r>
          </w:p>
        </w:tc>
        <w:tc>
          <w:tcPr>
            <w:tcW w:type="dxa" w:w="4226"/>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Occupation pay percentiles, SOC 3571</w:t>
            </w:r>
          </w:p>
        </w:tc>
        <w:tc>
          <w:tcPr>
            <w:tcW w:type="dxa" w:w="15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2025 provisional</w:t>
            </w:r>
          </w:p>
        </w:tc>
        <w:tc>
          <w:tcPr>
            <w:tcW w:type="dxa" w:w="1000"/>
            <w:tcBorders>
              <w:top w:val="none" w:color="FFFFFF" w:sz="0"/>
              <w:left w:val="none" w:color="FFFFFF" w:sz="0"/>
              <w:bottom w:val="single" w:color="E2E8F0" w:sz="2"/>
              <w:right w:val="none" w:color="FFFFFF" w:sz="0"/>
            </w:tcBorders>
            <w:shd w:fill="FFFFFF" w:color="auto" w:val="clear"/>
            <w:tcMar>
              <w:top w:type="dxa" w:w="80"/>
              <w:left w:type="dxa" w:w="120"/>
              <w:bottom w:type="dxa" w:w="80"/>
              <w:right w:type="dxa" w:w="120"/>
            </w:tcMar>
            <w:vAlign w:val="center"/>
          </w:tcPr>
          <w:p>
            <w:pPr>
              <w:spacing w:after="0" w:before="0" w:line="300"/>
              <w:jc w:val="left"/>
            </w:pPr>
            <w:r>
              <w:rPr>
                <w:rFonts w:ascii="Arial" w:cs="Arial" w:eastAsia="Arial" w:hAnsi="Arial"/>
                <w:color w:val="334155"/>
                <w:sz w:val="20"/>
                <w:szCs w:val="20"/>
              </w:rPr>
              <w:t xml:space="preserve">used</w:t>
            </w:r>
          </w:p>
        </w:tc>
      </w:tr>
    </w:tbl>
    <w:p>
      <w:pPr>
        <w:spacing w:after="160" w:before="160" w:line="300"/>
      </w:pPr>
      <w:r>
        <w:rPr>
          <w:rFonts w:ascii="Arial" w:cs="Arial" w:eastAsia="Arial" w:hAnsi="Arial"/>
          <w:color w:val="64748B"/>
          <w:sz w:val="16"/>
          <w:szCs w:val="16"/>
        </w:rPr>
        <w:t xml:space="preserve">Salary figures are full-time gross annual pay unless stated. Advertised salaries show what employers offer, not what they end up paying.</w:t>
      </w:r>
    </w:p>
    <w:p>
      <w:pPr>
        <w:spacing w:after="2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none" w:color="FFFFFF" w:sz="0"/>
              <w:bottom w:val="none" w:color="FFFFFF" w:sz="0"/>
              <w:right w:val="none" w:color="FFFFFF" w:sz="0"/>
            </w:tcBorders>
            <w:shd w:fill="3730A3" w:color="auto" w:val="clear"/>
            <w:tcMar>
              <w:top w:type="dxa" w:w="280"/>
              <w:left w:type="dxa" w:w="300"/>
              <w:bottom w:type="dxa" w:w="280"/>
              <w:right w:type="dxa" w:w="300"/>
            </w:tcMar>
          </w:tcPr>
          <w:p>
            <w:pPr>
              <w:spacing w:after="80" w:before="0" w:line="300"/>
            </w:pPr>
            <w:r>
              <w:rPr>
                <w:rFonts w:ascii="Arial" w:cs="Arial" w:eastAsia="Arial" w:hAnsi="Arial"/>
                <w:b/>
                <w:bCs/>
                <w:color w:val="FFFFFF"/>
                <w:sz w:val="24"/>
                <w:szCs w:val="24"/>
              </w:rPr>
              <w:t xml:space="preserve">About hireful</w:t>
            </w:r>
          </w:p>
          <w:p>
            <w:pPr>
              <w:spacing w:after="200" w:before="0" w:line="300"/>
            </w:pPr>
            <w:r>
              <w:rPr>
                <w:rFonts w:ascii="Arial" w:cs="Arial" w:eastAsia="Arial" w:hAnsi="Arial"/>
                <w:color w:val="E0E7FF"/>
                <w:sz w:val="20"/>
                <w:szCs w:val="20"/>
              </w:rPr>
              <w:t xml:space="preserve">hireful helps HR teams and in-house recruiters in the UK hire well, with recruitment software and hands-on support. This report was put together with hireful's salary benchmarking tool, which combines hireful's own database of employer adverts (live and recently closed, collected directly from employers' own websites) with live job adverts from Reed and Adzuna and official ONS pay data.</w:t>
            </w:r>
          </w:p>
          <w:p>
            <w:pPr>
              <w:spacing w:after="40" w:before="0" w:line="300"/>
            </w:pPr>
            <w:r>
              <w:rPr>
                <w:rFonts w:ascii="Arial" w:cs="Arial" w:eastAsia="Arial" w:hAnsi="Arial"/>
                <w:b/>
                <w:bCs/>
                <w:color w:val="FFFFFF"/>
                <w:sz w:val="22"/>
                <w:szCs w:val="22"/>
              </w:rPr>
              <w:t xml:space="preserve">Need to benchmark another role?</w:t>
            </w:r>
          </w:p>
          <w:p>
            <w:pPr>
              <w:spacing w:after="0"/>
            </w:pPr>
            <w:hyperlink w:history="1" r:id="rIdlsceyykslvdi8fqxa_eoa">
              <w:r>
                <w:rPr>
                  <w:rFonts w:ascii="Arial" w:cs="Arial" w:eastAsia="Arial" w:hAnsi="Arial"/>
                  <w:b/>
                  <w:bCs/>
                  <w:color w:val="A5B4FC"/>
                  <w:sz w:val="22"/>
                  <w:szCs w:val="22"/>
                  <w:u w:val="single"/>
                </w:rPr>
                <w:t xml:space="preserve">Run another salary benchmark report</w:t>
              </w:r>
            </w:hyperlink>
          </w:p>
        </w:tc>
      </w:tr>
    </w:tbl>
    <w:sectPr>
      <w:headerReference w:type="default" r:id="rId7"/>
      <w:footerReference w:type="default" r:id="rId8"/>
      <w:pgSz w:w="11906" w:h="16838" w:orient="portrait"/>
      <w:pgMar w:top="1440" w:right="1440" w:bottom="144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color w:val="64748B"/>
        <w:sz w:val="16"/>
        <w:szCs w:val="16"/>
      </w:rPr>
      <w:t xml:space="preserve">You're welcome to share this report. It was produced for free by the hireful salary benchmark tool, and you can run more reports or try our other free tools at </w:t>
    </w:r>
    <w:hyperlink w:history="1" r:id="rIdexwadpwnugaj_5kpvghy0">
      <w:r>
        <w:rPr>
          <w:rFonts w:ascii="Arial" w:cs="Arial" w:eastAsia="Arial" w:hAnsi="Arial"/>
          <w:color w:val="4F46E5"/>
          <w:sz w:val="16"/>
          <w:szCs w:val="16"/>
          <w:u w:val="single"/>
        </w:rPr>
        <w:t xml:space="preserve">hireful.com/tools</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85875"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85875" cy="7620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549jxzr0bddwlszy67tf" Type="http://schemas.openxmlformats.org/officeDocument/2006/relationships/hyperlink" Target="https://www.adzuna.co.uk/jobs/details/5888202723?utm_medium=api&amp;utm_source=f7c57c69" TargetMode="External"/><Relationship Id="rIdfxezwsh8ri9wqlu3acg8r" Type="http://schemas.openxmlformats.org/officeDocument/2006/relationships/hyperlink" Target="https://www.adzuna.co.uk/jobs/details/5877114508?utm_medium=api&amp;utm_source=f7c57c69" TargetMode="External"/><Relationship Id="rIdv4hpgoe9cfgqg74g4wiob" Type="http://schemas.openxmlformats.org/officeDocument/2006/relationships/hyperlink" Target="https://www.adzuna.co.uk/jobs/details/5843072403?utm_medium=api&amp;utm_source=f7c57c69" TargetMode="External"/><Relationship Id="rIdkdosb5aimz8ekbciszhfb" Type="http://schemas.openxmlformats.org/officeDocument/2006/relationships/hyperlink" Target="https://www.reed.co.uk/jobs/hr-advisor/57276295" TargetMode="External"/><Relationship Id="rId3qzuvea4bzdiybdmqzzkb" Type="http://schemas.openxmlformats.org/officeDocument/2006/relationships/hyperlink" Target="https://www.reed.co.uk/jobs/hr-advisor-generalist/57358912" TargetMode="External"/><Relationship Id="rIde4kx4wj_avt7bqhzfxqcc" Type="http://schemas.openxmlformats.org/officeDocument/2006/relationships/hyperlink" Target="https://www.adzuna.co.uk/jobs/details/5867759091?utm_medium=api&amp;utm_source=f7c57c69" TargetMode="External"/><Relationship Id="rIdjx5nkdgkkko8jozmas48q" Type="http://schemas.openxmlformats.org/officeDocument/2006/relationships/hyperlink" Target="https://www.reed.co.uk/jobs/regional-hr-advisor/57382826" TargetMode="External"/><Relationship Id="rId358wxsxqbgk9dinhufh-c" Type="http://schemas.openxmlformats.org/officeDocument/2006/relationships/hyperlink" Target="https://www.reed.co.uk/jobs/hr-advisor/57346413" TargetMode="External"/><Relationship Id="rIdwrugjsdzh2a5vjpazjwyw" Type="http://schemas.openxmlformats.org/officeDocument/2006/relationships/hyperlink" Target="https://www.adzuna.co.uk/jobs/land/ad/5894192225?se=6M9BIMu48RGe_JPLOQ22eA&amp;utm_medium=api&amp;utm_source=f7c57c69&amp;v=7DF71E1E652E10964D0B369A4C64BFA577EF3171" TargetMode="External"/><Relationship Id="rIdld4mxnapylk9arvwugyip" Type="http://schemas.openxmlformats.org/officeDocument/2006/relationships/hyperlink" Target="https://www.reed.co.uk/jobs/hr-advisor/57378732" TargetMode="External"/><Relationship Id="rId3u3zzn7ep_oddf_afognu" Type="http://schemas.openxmlformats.org/officeDocument/2006/relationships/hyperlink" Target="https://www.reed.co.uk/jobs/hr-advisor/57364560" TargetMode="External"/><Relationship Id="rId-a-yujwhfgy2elpvuzo0t" Type="http://schemas.openxmlformats.org/officeDocument/2006/relationships/hyperlink" Target="https://www.reed.co.uk/jobs/hr-advisor/57354630" TargetMode="External"/><Relationship Id="rIdjkw-1plilhwuqgwuh11ex" Type="http://schemas.openxmlformats.org/officeDocument/2006/relationships/hyperlink" Target="https://www.reed.co.uk/jobs/hr-advisor/57308463" TargetMode="External"/><Relationship Id="rIdpf-chwcab5sshejdn5b-t" Type="http://schemas.openxmlformats.org/officeDocument/2006/relationships/hyperlink" Target="https://www.adzuna.co.uk/jobs/land/ad/5869515546?se=6M9BIMu48RGe_JPLOQ22eA&amp;utm_medium=api&amp;utm_source=f7c57c69&amp;v=0277C16B7F8E7CEC2FC73D2D555F60D7AFCDDF09" TargetMode="External"/><Relationship Id="rIdiatit4vilh9_gymthphg7" Type="http://schemas.openxmlformats.org/officeDocument/2006/relationships/hyperlink" Target="https://www.reed.co.uk/jobs/hr-advisor/57391745" TargetMode="External"/><Relationship Id="rIdhx3pqj0nrr_ied2n7u8nv" Type="http://schemas.openxmlformats.org/officeDocument/2006/relationships/hyperlink" Target="https://www.adzuna.co.uk/jobs/details/5893864045?utm_medium=api&amp;utm_source=f7c57c69" TargetMode="External"/><Relationship Id="rId2yrq_8pmzl-fq3mgwycmg" Type="http://schemas.openxmlformats.org/officeDocument/2006/relationships/hyperlink" Target="https://www.reed.co.uk/jobs/hr-advisor/57332528" TargetMode="External"/><Relationship Id="rIdjqkyv8cmtntr4fmjhlopn" Type="http://schemas.openxmlformats.org/officeDocument/2006/relationships/hyperlink" Target="https://www.reed.co.uk/jobs/hr-advisor/57363274" TargetMode="External"/><Relationship Id="rIdqsxprwqzdu3h7lo6w_njg" Type="http://schemas.openxmlformats.org/officeDocument/2006/relationships/hyperlink" Target="https://www.reed.co.uk/jobs/hr-advisor/57336589" TargetMode="External"/><Relationship Id="rIdc5lsyqkugy9uejsnqd2hq" Type="http://schemas.openxmlformats.org/officeDocument/2006/relationships/hyperlink" Target="https://www.adzuna.co.uk/jobs/land/ad/5883638598?se=6M9BIMu48RGe_JPLOQ22eA&amp;utm_medium=api&amp;utm_source=f7c57c69&amp;v=99B8786D90AF984AF531C44CA7ADA4ACEBD9F9A8" TargetMode="External"/><Relationship Id="rIdnuszlerch-76ziifqhkwr" Type="http://schemas.openxmlformats.org/officeDocument/2006/relationships/hyperlink" Target="https://www.reed.co.uk/jobs/hr-advisor/57364235" TargetMode="External"/><Relationship Id="rIdqgfu3f2u7a0yvwlxwutva" Type="http://schemas.openxmlformats.org/officeDocument/2006/relationships/hyperlink" Target="https://www.reed.co.uk/jobs/hr-advisor/57326027" TargetMode="External"/><Relationship Id="rIdsyrq__-bl_vlzvah6bhyp" Type="http://schemas.openxmlformats.org/officeDocument/2006/relationships/hyperlink" Target="https://www.adzuna.co.uk/jobs/details/5893315572?utm_medium=api&amp;utm_source=f7c57c69" TargetMode="External"/><Relationship Id="rIdzkcuac8rcxas0-4sanadd" Type="http://schemas.openxmlformats.org/officeDocument/2006/relationships/hyperlink" Target="https://www.adzuna.co.uk/jobs/details/5540936781?utm_medium=api&amp;utm_source=f7c57c69" TargetMode="External"/><Relationship Id="rIdlsceyykslvdi8fqxa_eoa" Type="http://schemas.openxmlformats.org/officeDocument/2006/relationships/hyperlink" Target="https://salary-benchmark-report.netlify.app"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wadpwnugaj_5kpvghy0" Type="http://schemas.openxmlformats.org/officeDocument/2006/relationships/hyperlink" Target="https://www.hireful.com/tools"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eea7ae2c1e62782ee1a207feb286bc299f234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Salary benchmark: HR Advisor, Manchester</dc:title>
  <dc:creator>hireful</dc:creator>
  <cp:lastModifiedBy>Un-named</cp:lastModifiedBy>
  <cp:revision>1</cp:revision>
  <dcterms:created xsi:type="dcterms:W3CDTF">2026-10-26T08:54:05.552Z</dcterms:created>
  <dcterms:modified xsi:type="dcterms:W3CDTF">2026-10-26T08:54:05.552Z</dcterms:modified>
</cp:coreProperties>
</file>

<file path=docProps/custom.xml><?xml version="1.0" encoding="utf-8"?>
<Properties xmlns="http://schemas.openxmlformats.org/officeDocument/2006/custom-properties" xmlns:vt="http://schemas.openxmlformats.org/officeDocument/2006/docPropsVTypes"/>
</file>